
<file path=[Content_Types].xml><?xml version="1.0" encoding="utf-8"?>
<Types xmlns="http://schemas.openxmlformats.org/package/2006/content-types">
  <Default Extension="xml" ContentType="application/xml"/>
  <Default Extension="bin" ContentType="application/vnd.openxmlformats-officedocument.oleObject"/>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FF9AD4B">
      <w:pPr>
        <w:jc w:val="left"/>
        <w:rPr>
          <w:rFonts w:ascii="Times New Roman" w:hAnsi="Times New Roman" w:eastAsia="仿宋_GB2312"/>
          <w:bCs/>
          <w:color w:val="000000"/>
          <w:sz w:val="32"/>
          <w:szCs w:val="32"/>
        </w:rPr>
      </w:pPr>
      <w:bookmarkStart w:id="1039" w:name="_GoBack"/>
      <w:bookmarkEnd w:id="1039"/>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lang w:val="en-US" w:eastAsia="zh-CN"/>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lang w:val="en-US" w:eastAsia="zh-CN"/>
        </w:rPr>
        <w:t>0201</w:t>
      </w:r>
      <w:r>
        <w:rPr>
          <w:rFonts w:hint="eastAsia" w:ascii="Times New Roman" w:hAnsi="Times New Roman" w:eastAsia="仿宋_GB2312"/>
          <w:bCs/>
          <w:color w:val="000000"/>
          <w:sz w:val="32"/>
          <w:szCs w:val="32"/>
        </w:rPr>
        <w:t>）</w:t>
      </w:r>
    </w:p>
    <w:p w14:paraId="38A5F97C">
      <w:pPr>
        <w:jc w:val="center"/>
        <w:rPr>
          <w:rFonts w:ascii="Times New Roman" w:hAnsi="Times New Roman" w:eastAsia="华文中宋"/>
          <w:b/>
          <w:color w:val="000000"/>
          <w:sz w:val="52"/>
          <w:szCs w:val="52"/>
        </w:rPr>
      </w:pPr>
    </w:p>
    <w:p w14:paraId="54B14297">
      <w:pPr>
        <w:jc w:val="center"/>
        <w:rPr>
          <w:rFonts w:ascii="Times New Roman" w:hAnsi="Times New Roman" w:eastAsia="华文中宋"/>
          <w:b/>
          <w:color w:val="000000"/>
          <w:sz w:val="52"/>
          <w:szCs w:val="52"/>
        </w:rPr>
      </w:pPr>
    </w:p>
    <w:p w14:paraId="5216B899">
      <w:pPr>
        <w:jc w:val="center"/>
        <w:rPr>
          <w:rFonts w:ascii="Times New Roman" w:hAnsi="Times New Roman" w:eastAsia="华文中宋"/>
          <w:b/>
          <w:color w:val="000000"/>
          <w:sz w:val="52"/>
          <w:szCs w:val="52"/>
        </w:rPr>
      </w:pPr>
    </w:p>
    <w:p w14:paraId="6823FC6E">
      <w:pPr>
        <w:jc w:val="center"/>
        <w:rPr>
          <w:rFonts w:ascii="Times New Roman" w:hAnsi="Times New Roman" w:eastAsia="华文中宋"/>
          <w:b/>
          <w:color w:val="000000"/>
          <w:sz w:val="52"/>
          <w:szCs w:val="52"/>
        </w:rPr>
      </w:pPr>
    </w:p>
    <w:p w14:paraId="41FF568D">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76821720">
      <w:pPr>
        <w:jc w:val="center"/>
        <w:rPr>
          <w:rFonts w:ascii="Times New Roman" w:hAnsi="Times New Roman" w:eastAsia="华文中宋"/>
          <w:b/>
          <w:color w:val="000000"/>
          <w:sz w:val="52"/>
          <w:szCs w:val="52"/>
        </w:rPr>
      </w:pPr>
    </w:p>
    <w:p w14:paraId="23489608">
      <w:pPr>
        <w:jc w:val="center"/>
        <w:rPr>
          <w:rFonts w:ascii="Times New Roman" w:hAnsi="Times New Roman" w:eastAsia="黑体"/>
          <w:b/>
          <w:color w:val="000000"/>
          <w:sz w:val="72"/>
          <w:szCs w:val="72"/>
        </w:rPr>
      </w:pPr>
    </w:p>
    <w:p w14:paraId="37FC2230">
      <w:pPr>
        <w:jc w:val="center"/>
        <w:rPr>
          <w:rFonts w:ascii="Times New Roman" w:hAnsi="Times New Roman" w:eastAsia="楷体_GB2312"/>
          <w:b/>
          <w:color w:val="000000"/>
          <w:sz w:val="72"/>
          <w:szCs w:val="72"/>
        </w:rPr>
      </w:pPr>
    </w:p>
    <w:p w14:paraId="6AE5C42A">
      <w:pPr>
        <w:jc w:val="center"/>
        <w:rPr>
          <w:rFonts w:ascii="Times New Roman" w:hAnsi="Times New Roman" w:eastAsia="黑体"/>
          <w:b/>
          <w:color w:val="000000"/>
          <w:sz w:val="52"/>
          <w:szCs w:val="52"/>
        </w:rPr>
      </w:pPr>
    </w:p>
    <w:p w14:paraId="0F4DA88E">
      <w:pPr>
        <w:rPr>
          <w:rFonts w:ascii="Times New Roman" w:hAnsi="Times New Roman"/>
          <w:b/>
          <w:color w:val="000000"/>
          <w:sz w:val="28"/>
          <w:szCs w:val="28"/>
        </w:rPr>
      </w:pPr>
    </w:p>
    <w:p w14:paraId="1DB27C0D">
      <w:pPr>
        <w:rPr>
          <w:rFonts w:ascii="Times New Roman" w:hAnsi="Times New Roman"/>
          <w:b/>
          <w:color w:val="000000"/>
          <w:sz w:val="28"/>
          <w:szCs w:val="28"/>
        </w:rPr>
      </w:pPr>
    </w:p>
    <w:p w14:paraId="2BE21EB7">
      <w:pPr>
        <w:rPr>
          <w:rFonts w:ascii="Times New Roman" w:hAnsi="Times New Roman"/>
          <w:b/>
          <w:color w:val="000000"/>
          <w:sz w:val="28"/>
          <w:szCs w:val="28"/>
        </w:rPr>
      </w:pPr>
    </w:p>
    <w:p w14:paraId="4BD14070">
      <w:pPr>
        <w:rPr>
          <w:rFonts w:ascii="Times New Roman" w:hAnsi="Times New Roman"/>
          <w:b/>
          <w:color w:val="000000"/>
          <w:sz w:val="28"/>
          <w:szCs w:val="28"/>
        </w:rPr>
      </w:pPr>
    </w:p>
    <w:p w14:paraId="635A89EF">
      <w:pPr>
        <w:rPr>
          <w:rFonts w:ascii="Times New Roman" w:hAnsi="Times New Roman"/>
          <w:b/>
          <w:color w:val="000000"/>
          <w:sz w:val="28"/>
          <w:szCs w:val="28"/>
        </w:rPr>
      </w:pPr>
    </w:p>
    <w:p w14:paraId="5E4A2945">
      <w:pPr>
        <w:ind w:right="2719" w:rightChars="1295" w:firstLine="2738" w:firstLineChars="1304"/>
        <w:jc w:val="distribute"/>
        <w:rPr>
          <w:rFonts w:ascii="Times New Roman" w:hAnsi="Times New Roman"/>
          <w:b/>
          <w:color w:val="000000"/>
          <w:sz w:val="32"/>
          <w:szCs w:val="28"/>
        </w:rPr>
      </w:pPr>
      <w:r>
        <w:rPr>
          <w:rFonts w:ascii="Times New Roman" w:hAnsi="Times New Roman"/>
        </w:rPr>
        <mc:AlternateContent>
          <mc:Choice Requires="wps">
            <w:drawing>
              <wp:anchor distT="0" distB="0" distL="114300" distR="114300" simplePos="0" relativeHeight="251659264" behindDoc="0" locked="0" layoutInCell="1" allowOverlap="1">
                <wp:simplePos x="0" y="0"/>
                <wp:positionH relativeFrom="column">
                  <wp:posOffset>3970020</wp:posOffset>
                </wp:positionH>
                <wp:positionV relativeFrom="paragraph">
                  <wp:posOffset>120015</wp:posOffset>
                </wp:positionV>
                <wp:extent cx="723900" cy="457200"/>
                <wp:effectExtent l="4445" t="4445" r="14605" b="14605"/>
                <wp:wrapNone/>
                <wp:docPr id="1" name="文本框 2"/>
                <wp:cNvGraphicFramePr/>
                <a:graphic xmlns:a="http://schemas.openxmlformats.org/drawingml/2006/main">
                  <a:graphicData uri="http://schemas.microsoft.com/office/word/2010/wordprocessingShape">
                    <wps:wsp>
                      <wps:cNvSpPr txBox="1"/>
                      <wps:spPr>
                        <a:xfrm>
                          <a:off x="0" y="0"/>
                          <a:ext cx="723900" cy="457200"/>
                        </a:xfrm>
                        <a:prstGeom prst="rect">
                          <a:avLst/>
                        </a:prstGeom>
                        <a:noFill/>
                        <a:ln w="9525" cap="flat" cmpd="sng">
                          <a:solidFill>
                            <a:srgbClr val="FFFFFF"/>
                          </a:solidFill>
                          <a:prstDash val="solid"/>
                          <a:miter/>
                          <a:headEnd type="none" w="med" len="med"/>
                          <a:tailEnd type="none" w="med" len="med"/>
                        </a:ln>
                      </wps:spPr>
                      <wps:txbx>
                        <w:txbxContent>
                          <w:p w14:paraId="2F1414F7">
                            <w:pPr>
                              <w:rPr>
                                <w:rFonts w:hint="eastAsia"/>
                                <w:b/>
                                <w:bCs/>
                                <w:sz w:val="32"/>
                              </w:rPr>
                            </w:pPr>
                            <w:r>
                              <w:rPr>
                                <w:rFonts w:hint="eastAsia"/>
                                <w:b/>
                                <w:bCs/>
                                <w:sz w:val="32"/>
                              </w:rPr>
                              <w:t>制定</w:t>
                            </w:r>
                          </w:p>
                        </w:txbxContent>
                      </wps:txbx>
                      <wps:bodyPr wrap="square" upright="1"/>
                    </wps:wsp>
                  </a:graphicData>
                </a:graphic>
              </wp:anchor>
            </w:drawing>
          </mc:Choice>
          <mc:Fallback>
            <w:pict>
              <v:shape id="文本框 2" o:spid="_x0000_s1026" o:spt="202" type="#_x0000_t202" style="position:absolute;left:0pt;margin-left:312.6pt;margin-top:9.45pt;height:36pt;width:57pt;z-index:251659264;mso-width-relative:page;mso-height-relative:page;" filled="f" stroked="t" coordsize="21600,21600" o:gfxdata="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Qc0tcdgAAAAJAQAADwAAAAAAAAABACAA&#10;AAAiAAAAZHJzL2Rvd25yZXYueG1sUEsBAhQAFAAAAAgAh07iQP1ei7YNAgAAGgQAAA4AAAAAAAAA&#10;AQAgAAAAJwEAAGRycy9lMm9Eb2MueG1sUEsFBgAAAAAGAAYAWQEAAKYFAAAAAA==&#10;">
                <v:fill on="f" focussize="0,0"/>
                <v:stroke color="#FFFFFF" joinstyle="miter"/>
                <v:imagedata o:title=""/>
                <o:lock v:ext="edit" aspectratio="f"/>
                <v:textbox>
                  <w:txbxContent>
                    <w:p w14:paraId="2F1414F7">
                      <w:pPr>
                        <w:rPr>
                          <w:rFonts w:hint="eastAsia"/>
                          <w:b/>
                          <w:bCs/>
                          <w:sz w:val="32"/>
                        </w:rPr>
                      </w:pPr>
                      <w:r>
                        <w:rPr>
                          <w:rFonts w:hint="eastAsia"/>
                          <w:b/>
                          <w:bCs/>
                          <w:sz w:val="32"/>
                        </w:rPr>
                        <w:t>制定</w:t>
                      </w:r>
                    </w:p>
                  </w:txbxContent>
                </v:textbox>
              </v:shape>
            </w:pict>
          </mc:Fallback>
        </mc:AlternateContent>
      </w:r>
      <w:r>
        <w:rPr>
          <w:rFonts w:ascii="Times New Roman" w:hAnsi="Times New Roman"/>
          <w:b/>
          <w:color w:val="000000"/>
          <w:sz w:val="32"/>
          <w:szCs w:val="28"/>
        </w:rPr>
        <w:t>住房城乡建设部</w:t>
      </w:r>
    </w:p>
    <w:p w14:paraId="417C5EA1">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75FFB6D9">
      <w:pPr>
        <w:rPr>
          <w:rFonts w:ascii="Times New Roman" w:hAnsi="Times New Roman"/>
          <w:b/>
          <w:color w:val="000000"/>
        </w:rPr>
      </w:pPr>
    </w:p>
    <w:p w14:paraId="71FF3FB1">
      <w:pPr>
        <w:pStyle w:val="82"/>
        <w:spacing w:before="0" w:after="0" w:line="240" w:lineRule="auto"/>
        <w:jc w:val="center"/>
        <w:outlineLvl w:val="0"/>
        <w:rPr>
          <w:rFonts w:hint="eastAsia" w:ascii="Times New Roman" w:hAnsi="Times New Roman" w:eastAsia="华文中宋"/>
          <w:lang w:val="zh-CN"/>
        </w:rPr>
      </w:pPr>
      <w:r>
        <w:rPr>
          <w:rFonts w:ascii="Times New Roman" w:hAnsi="Times New Roman"/>
          <w:b w:val="0"/>
          <w:color w:val="000000"/>
        </w:rPr>
        <w:br w:type="page"/>
      </w:r>
      <w:bookmarkStart w:id="0" w:name="_Toc296503025"/>
      <w:bookmarkStart w:id="1" w:name="_Toc296890982"/>
      <w:r>
        <w:rPr>
          <w:rFonts w:hint="eastAsia" w:ascii="Times New Roman" w:hAnsi="Times New Roman" w:eastAsia="华文中宋"/>
          <w:lang w:val="zh-CN"/>
        </w:rPr>
        <w:t>说  明</w:t>
      </w:r>
    </w:p>
    <w:p w14:paraId="0BB888BB">
      <w:pPr>
        <w:ind w:firstLine="600" w:firstLineChars="200"/>
        <w:rPr>
          <w:rFonts w:ascii="仿宋_GB2312" w:eastAsia="仿宋_GB2312"/>
          <w:sz w:val="30"/>
          <w:szCs w:val="30"/>
        </w:rPr>
      </w:pPr>
      <w:r>
        <w:rPr>
          <w:rFonts w:hint="eastAsia" w:ascii="仿宋_GB2312" w:eastAsia="仿宋_GB2312"/>
          <w:sz w:val="30"/>
          <w:szCs w:val="30"/>
        </w:rPr>
        <w:t>为了指导建设工程施工合同当事人的签约行为，维护合同当事人的合法权益，依据《中华人民共和国合同法》、《中华人民共和国建筑法》、《中华人民共和国招标投标法》以及相关法律法规，住房城乡建设部、国家工商行政管理总局对《建设工程施工合同（示范文本）》（GF-</w:t>
      </w:r>
      <w:r>
        <w:rPr>
          <w:rFonts w:hint="eastAsia" w:ascii="仿宋_GB2312" w:eastAsia="仿宋_GB2312"/>
          <w:sz w:val="30"/>
          <w:szCs w:val="30"/>
          <w:lang w:val="en-US" w:eastAsia="zh-CN"/>
        </w:rPr>
        <w:t>2013</w:t>
      </w:r>
      <w:r>
        <w:rPr>
          <w:rFonts w:hint="eastAsia" w:ascii="仿宋_GB2312" w:eastAsia="仿宋_GB2312"/>
          <w:sz w:val="30"/>
          <w:szCs w:val="30"/>
        </w:rPr>
        <w:t>-0201）进行了修订，制定了《建设工程施工合同（示范文本）》（GF-201</w:t>
      </w:r>
      <w:r>
        <w:rPr>
          <w:rFonts w:hint="eastAsia" w:ascii="仿宋_GB2312" w:eastAsia="仿宋_GB2312"/>
          <w:sz w:val="30"/>
          <w:szCs w:val="30"/>
          <w:lang w:val="en-US" w:eastAsia="zh-CN"/>
        </w:rPr>
        <w:t>7</w:t>
      </w:r>
      <w:r>
        <w:rPr>
          <w:rFonts w:hint="eastAsia" w:ascii="仿宋_GB2312" w:eastAsia="仿宋_GB2312"/>
          <w:sz w:val="30"/>
          <w:szCs w:val="30"/>
        </w:rPr>
        <w:t>-0201）（以下简称《示范文本》）。为了便于合同当事人使用《示范文本》，现就有关问题说明如下：</w:t>
      </w:r>
    </w:p>
    <w:p w14:paraId="44E7496E">
      <w:pPr>
        <w:ind w:firstLine="600" w:firstLineChars="200"/>
        <w:outlineLvl w:val="0"/>
        <w:rPr>
          <w:rFonts w:hint="eastAsia" w:ascii="黑体" w:hAnsi="黑体" w:eastAsia="黑体"/>
          <w:bCs/>
          <w:sz w:val="30"/>
          <w:szCs w:val="30"/>
        </w:rPr>
      </w:pPr>
      <w:r>
        <w:rPr>
          <w:rFonts w:hint="eastAsia" w:ascii="黑体" w:hAnsi="黑体" w:eastAsia="黑体"/>
          <w:bCs/>
          <w:sz w:val="30"/>
          <w:szCs w:val="30"/>
        </w:rPr>
        <w:t>一、《示范文本》的组成</w:t>
      </w:r>
    </w:p>
    <w:p w14:paraId="7F1DC77E">
      <w:pPr>
        <w:ind w:firstLine="600" w:firstLineChars="200"/>
        <w:rPr>
          <w:rFonts w:hint="eastAsia" w:ascii="仿宋_GB2312" w:eastAsia="仿宋_GB2312"/>
          <w:sz w:val="30"/>
          <w:szCs w:val="30"/>
        </w:rPr>
      </w:pPr>
      <w:r>
        <w:rPr>
          <w:rFonts w:hint="eastAsia" w:ascii="仿宋_GB2312" w:eastAsia="仿宋_GB2312"/>
          <w:sz w:val="30"/>
          <w:szCs w:val="30"/>
        </w:rPr>
        <w:t>《示范文本》由合同协议书、通用合同条款和专用合同条款三部分组成。</w:t>
      </w:r>
    </w:p>
    <w:p w14:paraId="7AC51FCE">
      <w:pPr>
        <w:ind w:firstLine="600" w:firstLineChars="200"/>
        <w:outlineLvl w:val="0"/>
        <w:rPr>
          <w:rFonts w:hint="eastAsia" w:ascii="仿宋_GB2312" w:eastAsia="仿宋_GB2312"/>
          <w:sz w:val="30"/>
          <w:szCs w:val="30"/>
        </w:rPr>
      </w:pPr>
      <w:r>
        <w:rPr>
          <w:rFonts w:hint="eastAsia" w:ascii="仿宋_GB2312" w:eastAsia="仿宋_GB2312"/>
          <w:sz w:val="30"/>
          <w:szCs w:val="30"/>
        </w:rPr>
        <w:t>（一）合同协议书</w:t>
      </w:r>
    </w:p>
    <w:p w14:paraId="4E1FE1ED">
      <w:pPr>
        <w:ind w:firstLine="600" w:firstLineChars="200"/>
        <w:rPr>
          <w:rFonts w:hint="eastAsia" w:ascii="仿宋_GB2312" w:eastAsia="仿宋_GB2312"/>
          <w:sz w:val="30"/>
          <w:szCs w:val="30"/>
        </w:rPr>
      </w:pPr>
      <w:r>
        <w:rPr>
          <w:rFonts w:hint="eastAsia" w:ascii="仿宋_GB2312" w:eastAsia="仿宋_GB2312"/>
          <w:sz w:val="30"/>
          <w:szCs w:val="30"/>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65ACAAB7">
      <w:pPr>
        <w:ind w:firstLine="600" w:firstLineChars="200"/>
        <w:outlineLvl w:val="0"/>
        <w:rPr>
          <w:rFonts w:hint="eastAsia" w:ascii="仿宋_GB2312" w:eastAsia="仿宋_GB2312"/>
          <w:sz w:val="30"/>
          <w:szCs w:val="30"/>
        </w:rPr>
      </w:pPr>
      <w:r>
        <w:rPr>
          <w:rFonts w:hint="eastAsia" w:ascii="仿宋_GB2312" w:eastAsia="仿宋_GB2312"/>
          <w:sz w:val="30"/>
          <w:szCs w:val="30"/>
        </w:rPr>
        <w:t>（二）通用合同条款</w:t>
      </w:r>
    </w:p>
    <w:p w14:paraId="66AE0A93">
      <w:pPr>
        <w:ind w:firstLine="600" w:firstLineChars="200"/>
        <w:rPr>
          <w:rFonts w:hint="eastAsia" w:ascii="仿宋_GB2312" w:eastAsia="仿宋_GB2312"/>
          <w:sz w:val="30"/>
          <w:szCs w:val="30"/>
        </w:rPr>
      </w:pPr>
      <w:r>
        <w:rPr>
          <w:rFonts w:hint="eastAsia" w:ascii="仿宋_GB2312" w:eastAsia="仿宋_GB2312"/>
          <w:sz w:val="30"/>
          <w:szCs w:val="30"/>
        </w:rPr>
        <w:t>通用合同条款是合同当事人根据《中华人民共和国建筑法》、《中华人民共和国合同法》等法律法规的规定，就工程建设的实施及相关事项，对合同当事人的权利义务作出的原则性约定。</w:t>
      </w:r>
    </w:p>
    <w:p w14:paraId="6E7B52B8">
      <w:pPr>
        <w:ind w:firstLine="600" w:firstLineChars="200"/>
        <w:rPr>
          <w:rFonts w:hint="eastAsia" w:ascii="仿宋_GB2312" w:eastAsia="仿宋_GB2312"/>
          <w:sz w:val="30"/>
          <w:szCs w:val="30"/>
        </w:rPr>
      </w:pPr>
      <w:r>
        <w:rPr>
          <w:rFonts w:hint="eastAsia" w:ascii="仿宋_GB2312" w:eastAsia="仿宋_GB2312"/>
          <w:sz w:val="30"/>
          <w:szCs w:val="30"/>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35B4DC72">
      <w:pPr>
        <w:ind w:firstLine="600" w:firstLineChars="200"/>
        <w:outlineLvl w:val="0"/>
        <w:rPr>
          <w:rFonts w:hint="eastAsia" w:ascii="仿宋_GB2312" w:eastAsia="仿宋_GB2312"/>
          <w:sz w:val="30"/>
          <w:szCs w:val="30"/>
        </w:rPr>
      </w:pPr>
      <w:r>
        <w:rPr>
          <w:rFonts w:hint="eastAsia" w:ascii="仿宋_GB2312" w:eastAsia="仿宋_GB2312"/>
          <w:sz w:val="30"/>
          <w:szCs w:val="30"/>
        </w:rPr>
        <w:t>（三）专用合同条款</w:t>
      </w:r>
    </w:p>
    <w:p w14:paraId="0515039D">
      <w:pPr>
        <w:ind w:firstLine="600" w:firstLineChars="200"/>
        <w:rPr>
          <w:rFonts w:hint="eastAsia" w:ascii="仿宋_GB2312" w:eastAsia="仿宋_GB2312"/>
          <w:sz w:val="30"/>
          <w:szCs w:val="30"/>
        </w:rPr>
      </w:pPr>
      <w:r>
        <w:rPr>
          <w:rFonts w:hint="eastAsia" w:ascii="仿宋_GB2312" w:eastAsia="仿宋_GB2312"/>
          <w:sz w:val="30"/>
          <w:szCs w:val="30"/>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146417E5">
      <w:pPr>
        <w:ind w:right="25" w:rightChars="12"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仿宋_GB2312" w:eastAsia="仿宋_GB2312"/>
          <w:sz w:val="30"/>
          <w:szCs w:val="30"/>
          <w:lang w:eastAsia="zh-CN"/>
        </w:rPr>
        <w:t>.</w:t>
      </w:r>
      <w:r>
        <w:rPr>
          <w:rFonts w:hint="eastAsia" w:ascii="仿宋_GB2312" w:eastAsia="仿宋_GB2312"/>
          <w:sz w:val="30"/>
          <w:szCs w:val="30"/>
        </w:rPr>
        <w:t>专用合同条款的编号应与相应的通用合同条款的编号一致；</w:t>
      </w:r>
    </w:p>
    <w:p w14:paraId="68102F55">
      <w:pPr>
        <w:ind w:firstLine="600" w:firstLineChars="200"/>
        <w:rPr>
          <w:rFonts w:hint="eastAsia" w:ascii="仿宋_GB2312" w:eastAsia="仿宋_GB2312"/>
          <w:sz w:val="30"/>
          <w:szCs w:val="30"/>
        </w:rPr>
      </w:pPr>
      <w:r>
        <w:rPr>
          <w:rFonts w:hint="eastAsia" w:ascii="仿宋_GB2312" w:eastAsia="仿宋_GB2312"/>
          <w:sz w:val="30"/>
          <w:szCs w:val="30"/>
        </w:rPr>
        <w:t>2</w:t>
      </w:r>
      <w:r>
        <w:rPr>
          <w:rFonts w:hint="eastAsia" w:ascii="仿宋_GB2312" w:eastAsia="仿宋_GB2312"/>
          <w:sz w:val="30"/>
          <w:szCs w:val="30"/>
          <w:lang w:eastAsia="zh-CN"/>
        </w:rPr>
        <w:t>.</w:t>
      </w:r>
      <w:r>
        <w:rPr>
          <w:rFonts w:hint="eastAsia" w:ascii="仿宋_GB2312" w:eastAsia="仿宋_GB2312"/>
          <w:sz w:val="30"/>
          <w:szCs w:val="30"/>
        </w:rPr>
        <w:t>合同当事人可以通过对专用合同条款的修改，满足具体建设工程的特殊要求，避免直接修改通用合同条款；</w:t>
      </w:r>
    </w:p>
    <w:p w14:paraId="1AEBB184">
      <w:pPr>
        <w:ind w:firstLine="600" w:firstLineChars="200"/>
        <w:rPr>
          <w:rFonts w:hint="eastAsia" w:ascii="仿宋_GB2312" w:eastAsia="仿宋_GB2312"/>
          <w:sz w:val="30"/>
          <w:szCs w:val="30"/>
        </w:rPr>
      </w:pPr>
      <w:r>
        <w:rPr>
          <w:rFonts w:hint="eastAsia" w:ascii="仿宋_GB2312" w:eastAsia="仿宋_GB2312"/>
          <w:sz w:val="30"/>
          <w:szCs w:val="30"/>
        </w:rPr>
        <w:t>3</w:t>
      </w:r>
      <w:r>
        <w:rPr>
          <w:rFonts w:hint="eastAsia" w:ascii="仿宋_GB2312" w:eastAsia="仿宋_GB2312"/>
          <w:sz w:val="30"/>
          <w:szCs w:val="30"/>
          <w:lang w:eastAsia="zh-CN"/>
        </w:rPr>
        <w:t>.</w:t>
      </w:r>
      <w:r>
        <w:rPr>
          <w:rFonts w:hint="eastAsia" w:ascii="仿宋_GB2312" w:eastAsia="仿宋_GB2312"/>
          <w:sz w:val="30"/>
          <w:szCs w:val="30"/>
        </w:rPr>
        <w:t>在专用合同条款中有横道线的地方，合同当事人可针对相应的通用合同条款进行细化、完善、补充、修改或另行约定；如无细化、完善、补充、修改或另行约定，则填写“无”或划“/”。</w:t>
      </w:r>
    </w:p>
    <w:p w14:paraId="13DF1BCE">
      <w:pPr>
        <w:ind w:firstLine="600" w:firstLineChars="200"/>
        <w:outlineLvl w:val="0"/>
        <w:rPr>
          <w:rFonts w:hint="eastAsia" w:ascii="仿宋_GB2312" w:eastAsia="仿宋_GB2312"/>
          <w:b/>
          <w:sz w:val="30"/>
          <w:szCs w:val="30"/>
        </w:rPr>
      </w:pPr>
      <w:r>
        <w:rPr>
          <w:rFonts w:hint="eastAsia" w:ascii="黑体" w:hAnsi="黑体" w:eastAsia="黑体"/>
          <w:bCs/>
          <w:sz w:val="30"/>
          <w:szCs w:val="30"/>
        </w:rPr>
        <w:t>二、《示范文本》的性质和适用范围</w:t>
      </w:r>
    </w:p>
    <w:p w14:paraId="437880DE">
      <w:pPr>
        <w:ind w:firstLine="600" w:firstLineChars="200"/>
        <w:rPr>
          <w:rFonts w:ascii="仿宋_GB2312" w:eastAsia="仿宋_GB2312"/>
          <w:sz w:val="30"/>
          <w:szCs w:val="30"/>
        </w:rPr>
        <w:sectPr>
          <w:footerReference r:id="rId3" w:type="default"/>
          <w:pgSz w:w="11906" w:h="16838"/>
          <w:pgMar w:top="1418" w:right="1555" w:bottom="1418" w:left="1531" w:header="851" w:footer="992" w:gutter="0"/>
          <w:pgNumType w:start="0"/>
          <w:cols w:space="720" w:num="1"/>
          <w:titlePg/>
          <w:docGrid w:type="lines" w:linePitch="312" w:charSpace="0"/>
        </w:sectPr>
      </w:pPr>
      <w:r>
        <w:rPr>
          <w:rFonts w:hint="eastAsia" w:ascii="仿宋_GB2312" w:eastAsia="仿宋_GB2312"/>
          <w:sz w:val="30"/>
          <w:szCs w:val="30"/>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55C828CA">
      <w:pPr>
        <w:pStyle w:val="82"/>
        <w:spacing w:before="120" w:after="120"/>
        <w:jc w:val="center"/>
        <w:rPr>
          <w:rFonts w:ascii="Times New Roman" w:hAnsi="Times New Roman" w:eastAsia="华文中宋"/>
        </w:rPr>
      </w:pPr>
      <w:r>
        <w:rPr>
          <w:rFonts w:ascii="Times New Roman" w:hAnsi="Times New Roman" w:eastAsia="华文中宋"/>
          <w:lang w:val="zh-CN"/>
        </w:rPr>
        <w:t>目</w:t>
      </w:r>
      <w:r>
        <w:rPr>
          <w:rFonts w:hint="eastAsia" w:ascii="Times New Roman" w:hAnsi="Times New Roman" w:eastAsia="华文中宋"/>
          <w:lang w:val="zh-CN"/>
        </w:rPr>
        <w:t xml:space="preserve">  </w:t>
      </w:r>
      <w:r>
        <w:rPr>
          <w:rFonts w:ascii="Times New Roman" w:hAnsi="Times New Roman" w:eastAsia="华文中宋"/>
          <w:lang w:val="zh-CN"/>
        </w:rPr>
        <w:t>录</w:t>
      </w:r>
    </w:p>
    <w:p w14:paraId="48B98FD2">
      <w:pPr>
        <w:pStyle w:val="19"/>
        <w:tabs>
          <w:tab w:val="right" w:leader="dot" w:pos="8810"/>
        </w:tabs>
        <w:ind w:left="0" w:leftChars="0" w:firstLine="420" w:firstLineChars="150"/>
        <w:rPr>
          <w:rFonts w:ascii="Times New Roman" w:hAnsi="Times New Roman" w:eastAsia="仿宋_GB2312"/>
          <w:b/>
          <w:sz w:val="30"/>
          <w:szCs w:val="30"/>
          <w:lang/>
        </w:rPr>
      </w:pPr>
      <w:r>
        <w:rPr>
          <w:rFonts w:ascii="Times New Roman" w:hAnsi="Times New Roman" w:eastAsia="仿宋_GB2312"/>
          <w:sz w:val="28"/>
          <w:szCs w:val="28"/>
        </w:rPr>
        <w:fldChar w:fldCharType="begin"/>
      </w:r>
      <w:r>
        <w:rPr>
          <w:rFonts w:ascii="Times New Roman" w:hAnsi="Times New Roman" w:eastAsia="仿宋_GB2312"/>
          <w:sz w:val="28"/>
          <w:szCs w:val="28"/>
        </w:rPr>
        <w:instrText xml:space="preserve"> TOC \o "1-5" \h \z \u </w:instrText>
      </w:r>
      <w:r>
        <w:rPr>
          <w:rFonts w:ascii="Times New Roman" w:hAnsi="Times New Roman" w:eastAsia="仿宋_GB2312"/>
          <w:sz w:val="28"/>
          <w:szCs w:val="28"/>
        </w:rPr>
        <w:fldChar w:fldCharType="separate"/>
      </w: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"_Toc351203480"</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第一部分 合同协议书</w:t>
      </w:r>
      <w:r>
        <w:rPr>
          <w:rFonts w:ascii="Times New Roman" w:hAnsi="Times New Roman" w:eastAsia="仿宋_GB2312"/>
          <w:sz w:val="28"/>
          <w:szCs w:val="28"/>
          <w:lang/>
        </w:rPr>
        <w:t>……………………</w:t>
      </w:r>
      <w:r>
        <w:rPr>
          <w:rFonts w:ascii="Times New Roman" w:hAnsi="Times New Roman" w:eastAsia="仿宋_GB2312"/>
          <w:spacing w:val="34"/>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begin"/>
      </w:r>
      <w:r>
        <w:rPr>
          <w:rFonts w:ascii="Times New Roman" w:hAnsi="Times New Roman" w:eastAsia="仿宋_GB2312"/>
          <w:sz w:val="30"/>
          <w:szCs w:val="30"/>
          <w:lang/>
        </w:rPr>
        <w:instrText xml:space="preserve"> PAGEREF _Toc351203480 \h </w:instrText>
      </w:r>
      <w:r>
        <w:rPr>
          <w:rFonts w:ascii="Times New Roman" w:hAnsi="Times New Roman" w:eastAsia="仿宋_GB2312"/>
          <w:sz w:val="30"/>
          <w:szCs w:val="30"/>
          <w:lang/>
        </w:rPr>
        <w:fldChar w:fldCharType="separate"/>
      </w:r>
      <w:r>
        <w:rPr>
          <w:rFonts w:ascii="Times New Roman" w:hAnsi="Times New Roman" w:eastAsia="仿宋_GB2312"/>
          <w:sz w:val="30"/>
          <w:szCs w:val="30"/>
          <w:lang/>
        </w:rPr>
        <w:t>1</w:t>
      </w:r>
      <w:r>
        <w:rPr>
          <w:rFonts w:ascii="Times New Roman" w:hAnsi="Times New Roman" w:eastAsia="仿宋_GB2312"/>
          <w:sz w:val="30"/>
          <w:szCs w:val="30"/>
          <w:lang/>
        </w:rPr>
        <w:fldChar w:fldCharType="end"/>
      </w:r>
      <w:r>
        <w:rPr>
          <w:rFonts w:ascii="Times New Roman" w:hAnsi="Times New Roman" w:eastAsia="仿宋_GB2312"/>
          <w:b/>
          <w:sz w:val="30"/>
          <w:szCs w:val="30"/>
          <w:lang/>
        </w:rPr>
        <w:fldChar w:fldCharType="end"/>
      </w:r>
    </w:p>
    <w:p w14:paraId="2BB1AAC5">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一、工程概况</w:t>
      </w:r>
      <w:r>
        <w:rPr>
          <w:rFonts w:ascii="Times New Roman" w:hAnsi="Times New Roman" w:eastAsia="仿宋_GB2312"/>
          <w:sz w:val="28"/>
          <w:szCs w:val="28"/>
          <w:lang/>
        </w:rPr>
        <w:tab/>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86CF883">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二、合同工期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ECAD2B0">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三、质量标准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E4910E6">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四、签约合同价与合同价格形式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C505F70">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五、项目经理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45B8CA5">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六、合同文件构成</w:t>
      </w:r>
      <w:r>
        <w:rPr>
          <w:rFonts w:ascii="Times New Roman" w:hAnsi="Times New Roman" w:eastAsia="仿宋_GB2312"/>
          <w:sz w:val="28"/>
          <w:szCs w:val="28"/>
          <w:lang/>
        </w:rPr>
        <w:tab/>
      </w:r>
      <w:r>
        <w:rPr>
          <w:rFonts w:hint="eastAsia" w:ascii="Times New Roman" w:hAnsi="Times New Roman" w:eastAsia="仿宋_GB2312"/>
          <w:sz w:val="28"/>
          <w:szCs w:val="28"/>
          <w:lang/>
        </w:rPr>
        <w:t>2</w:t>
      </w:r>
      <w:r>
        <w:rPr>
          <w:rFonts w:ascii="Times New Roman" w:hAnsi="Times New Roman" w:eastAsia="仿宋_GB2312"/>
          <w:sz w:val="28"/>
          <w:szCs w:val="28"/>
          <w:lang/>
        </w:rPr>
        <w:fldChar w:fldCharType="end"/>
      </w:r>
    </w:p>
    <w:p w14:paraId="194D2305">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七、承诺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7DA7314">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八、词语含义</w:t>
      </w:r>
      <w:r>
        <w:rPr>
          <w:rFonts w:ascii="Times New Roman" w:hAnsi="Times New Roman" w:eastAsia="仿宋_GB2312"/>
          <w:sz w:val="28"/>
          <w:szCs w:val="28"/>
          <w:lang/>
        </w:rPr>
        <w:tab/>
      </w:r>
      <w:r>
        <w:rPr>
          <w:rFonts w:hint="eastAsia" w:ascii="Times New Roman" w:hAnsi="Times New Roman" w:eastAsia="仿宋_GB2312"/>
          <w:sz w:val="28"/>
          <w:szCs w:val="28"/>
          <w:lang/>
        </w:rPr>
        <w:t>3</w:t>
      </w:r>
      <w:r>
        <w:rPr>
          <w:rFonts w:ascii="Times New Roman" w:hAnsi="Times New Roman" w:eastAsia="仿宋_GB2312"/>
          <w:sz w:val="28"/>
          <w:szCs w:val="28"/>
          <w:lang/>
        </w:rPr>
        <w:fldChar w:fldCharType="end"/>
      </w:r>
    </w:p>
    <w:p w14:paraId="63B00602">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九、签订时间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6DCDBFB">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十、签订地点</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76846F5">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十一、补充协议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C1A9339">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十二、合同生效</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3519774">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十三、合同份数</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27EDA41">
      <w:pPr>
        <w:pStyle w:val="19"/>
        <w:tabs>
          <w:tab w:val="right" w:leader="dot" w:pos="8810"/>
        </w:tabs>
        <w:ind w:left="0" w:leftChars="0" w:firstLine="298" w:firstLineChars="99"/>
        <w:rPr>
          <w:rFonts w:ascii="Times New Roman" w:hAnsi="Times New Roman" w:eastAsia="仿宋_GB2312"/>
          <w:b/>
          <w:sz w:val="30"/>
          <w:szCs w:val="30"/>
          <w:lang/>
        </w:rPr>
      </w:pPr>
      <w:r>
        <w:rPr>
          <w:rFonts w:ascii="Times New Roman" w:hAnsi="Times New Roman" w:eastAsia="仿宋_GB2312"/>
          <w:b/>
          <w:sz w:val="30"/>
          <w:szCs w:val="30"/>
          <w:lang/>
        </w:rPr>
        <w:fldChar w:fldCharType="begin"/>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instrText xml:space="preserve">HYPERLINK \l "_Toc351203494"</w:instrText>
      </w:r>
      <w:r>
        <w:rPr>
          <w:rStyle w:val="39"/>
          <w:rFonts w:ascii="Times New Roman" w:hAnsi="Times New Roman" w:eastAsia="仿宋_GB2312"/>
          <w:b/>
          <w:sz w:val="30"/>
          <w:szCs w:val="30"/>
          <w:lang/>
        </w:rPr>
        <w:instrText xml:space="preserve"> </w:instrText>
      </w:r>
      <w:r>
        <w:rPr>
          <w:rFonts w:ascii="Times New Roman" w:hAnsi="Times New Roman" w:eastAsia="仿宋_GB2312"/>
          <w:b/>
          <w:sz w:val="30"/>
          <w:szCs w:val="30"/>
          <w:lang/>
        </w:rPr>
        <w:fldChar w:fldCharType="separate"/>
      </w:r>
      <w:r>
        <w:rPr>
          <w:rStyle w:val="39"/>
          <w:rFonts w:ascii="Times New Roman" w:hAnsi="Times New Roman" w:eastAsia="仿宋_GB2312"/>
          <w:b/>
          <w:sz w:val="30"/>
          <w:szCs w:val="30"/>
          <w:lang/>
        </w:rPr>
        <w:t>第二部分 通用合同条款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b/>
          <w:sz w:val="30"/>
          <w:szCs w:val="30"/>
          <w:lang/>
        </w:rPr>
        <w:fldChar w:fldCharType="end"/>
      </w:r>
    </w:p>
    <w:p w14:paraId="2CA2D706">
      <w:pPr>
        <w:pStyle w:val="26"/>
        <w:ind w:firstLine="420" w:firstLineChars="15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F46F07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1.1词语定义与解释</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BD7BCE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1.2语言文字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285FA1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1.3法律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3E3B5B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"_Toc351203499"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标准和规范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_Toc351203499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19F20C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合同文件的优先顺序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9A03C8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1.6图纸和承包人文件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CE329E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1.7联络</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027505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1.8严禁贿赂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A4EEB6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1.9化石、文物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46106B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1.10交通运输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C9397E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1.11知识产权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992DD5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1.12保密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AE678D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1.13工程量清单错误的修正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DAFA159">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9F5509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2.1 许可或批准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78687B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2.2 发包人代表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A67200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2.3 发包人人员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136E4B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2.4 施工现场、施工条件和基础资料的提供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119DDA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2.5 资金来源证明及支付担保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2FD264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2.6 支付合同价款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B44128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2.7 组织竣工验收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5A7B9F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2.8 现场统一管理协议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26A3C6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635338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3.1 承包人的一般义务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B3BCE3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3.2 项目经理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E05AB9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3.3 承包人人员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E289DB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3.4 承包人现场查勘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B2491F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3.5 分包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73DF0B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3.6 工程照管与成品、半成品保护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1883C3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3.7 履约担保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29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228588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3.8 联合体</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3D63856">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14:paraId="1CDC960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4.1监理人的一般规定</w:t>
      </w:r>
      <w:r>
        <w:rPr>
          <w:rFonts w:ascii="Times New Roman" w:hAnsi="Times New Roman" w:eastAsia="仿宋_GB2312"/>
          <w:sz w:val="28"/>
          <w:szCs w:val="28"/>
          <w:lang/>
        </w:rPr>
        <w:tab/>
      </w:r>
      <w:r>
        <w:rPr>
          <w:rFonts w:hint="eastAsia" w:ascii="Times New Roman" w:hAnsi="Times New Roman" w:eastAsia="仿宋_GB2312"/>
          <w:sz w:val="28"/>
          <w:szCs w:val="28"/>
          <w:lang/>
        </w:rPr>
        <w:t>30</w:t>
      </w:r>
      <w:r>
        <w:rPr>
          <w:rFonts w:ascii="Times New Roman" w:hAnsi="Times New Roman" w:eastAsia="仿宋_GB2312"/>
          <w:sz w:val="28"/>
          <w:szCs w:val="28"/>
          <w:lang/>
        </w:rPr>
        <w:fldChar w:fldCharType="end"/>
      </w:r>
    </w:p>
    <w:p w14:paraId="421519A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4.2监理人员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B0B3B2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4.3监理人的指示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8123E5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4.4 商定或确定</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414BD0E">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A9EE87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5.1质量要求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C25C47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5.2质量保证措施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2D7D0F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5.3 隐蔽工程检查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33BF42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5.4不合格工程的处理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CD51FE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5.5 质量争议检测</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9F86C48">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A736C0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6.1安全文明施工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_Toc351203539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36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79D062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6.2 职业健康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904C03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6.3 环境保护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846E4D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ED114C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7.1施工组织设计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A5993C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7.2 施工进度计划</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09F76E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7.3 开工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261B3A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7.4测量放线</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F8F8E6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7.5工期延误</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6FA38C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7.6 不利物质条件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820D87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7.7异常恶劣的气候条件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_Toc351203549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3E98D2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7.8 暂停施工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75E8FE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7.9 提前竣工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49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F865FB1">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14:paraId="6B63678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8.1发包人供应材料与工程设备</w:t>
      </w:r>
      <w:r>
        <w:rPr>
          <w:rFonts w:ascii="Times New Roman" w:hAnsi="Times New Roman" w:eastAsia="仿宋_GB2312"/>
          <w:sz w:val="28"/>
          <w:szCs w:val="28"/>
          <w:lang/>
        </w:rPr>
        <w:tab/>
      </w:r>
      <w:r>
        <w:rPr>
          <w:rFonts w:hint="eastAsia" w:ascii="Times New Roman" w:hAnsi="Times New Roman" w:eastAsia="仿宋_GB2312"/>
          <w:sz w:val="28"/>
          <w:szCs w:val="28"/>
          <w:lang/>
        </w:rPr>
        <w:t>50</w:t>
      </w:r>
      <w:r>
        <w:rPr>
          <w:rFonts w:ascii="Times New Roman" w:hAnsi="Times New Roman" w:eastAsia="仿宋_GB2312"/>
          <w:sz w:val="28"/>
          <w:szCs w:val="28"/>
          <w:lang/>
        </w:rPr>
        <w:fldChar w:fldCharType="end"/>
      </w:r>
    </w:p>
    <w:p w14:paraId="1C599C8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8.2承包人采购材料与工程设备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4F4DAB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8.3材料与工程设备的接收与拒收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FD0056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8.4材料与工程设备的保管与使用</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0D9692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8.5 禁止使用不合格的材料和工程设备</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C1655F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8.6 样品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E8052D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"_Toc351203559"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8.7 材料与工程设备的替代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_Toc351203559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E2AADC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8.8 施工设备和临时设施</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FBB78B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8.9材料与设备专用</w:t>
      </w:r>
      <w:r>
        <w:rPr>
          <w:rStyle w:val="39"/>
          <w:rFonts w:hint="eastAsia" w:ascii="Times New Roman" w:hAnsi="Times New Roman" w:eastAsia="仿宋_GB2312"/>
          <w:sz w:val="28"/>
          <w:szCs w:val="28"/>
          <w:lang/>
        </w:rPr>
        <w:t>要求</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DF95EAA">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968802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9.1试验设备与试验人员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7831F9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9.2取样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061D6F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9.3 材料、工程设备和工程的试验和检验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50BAC1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9.4 现场工艺试验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CD67FB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A97EB2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10.1变更的范围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68B646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"_Toc351203569"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10.2 变更权</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_Toc351203569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F86A7D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10.3变更程序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A18EA8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10.4变更估价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59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DAE427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10.5</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承包人的合理化建议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5622FFD">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10.6 变更引起的工期调整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019427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10.7</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暂估价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094A6D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10.8 暂列金额</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DD6DAF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10.9 计日工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A9EE9ED">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4D8254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11.1 市场价格波动引起的调整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18674E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"_Toc351203579"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11.2 法律变化引起的调整</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_Toc351203579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792687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59D772F">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12.1 合同价格形式</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75DF1D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12.2 预付款</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69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23A003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12.3 计量</w:t>
      </w:r>
      <w:r>
        <w:rPr>
          <w:rFonts w:ascii="Times New Roman" w:hAnsi="Times New Roman" w:eastAsia="仿宋_GB2312"/>
          <w:sz w:val="28"/>
          <w:szCs w:val="28"/>
          <w:lang/>
        </w:rPr>
        <w:tab/>
      </w:r>
      <w:r>
        <w:rPr>
          <w:rFonts w:hint="eastAsia" w:ascii="Times New Roman" w:hAnsi="Times New Roman" w:eastAsia="仿宋_GB2312"/>
          <w:sz w:val="28"/>
          <w:szCs w:val="28"/>
          <w:lang/>
        </w:rPr>
        <w:t>70</w:t>
      </w:r>
      <w:r>
        <w:rPr>
          <w:rFonts w:ascii="Times New Roman" w:hAnsi="Times New Roman" w:eastAsia="仿宋_GB2312"/>
          <w:sz w:val="28"/>
          <w:szCs w:val="28"/>
          <w:lang/>
        </w:rPr>
        <w:fldChar w:fldCharType="end"/>
      </w:r>
    </w:p>
    <w:p w14:paraId="5FEFA83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12.4 工程进度款支付</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055CAE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12.5 支付账户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985F7A5">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 验收和工程试车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056ECA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13.1 分部分项工程验收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3653DE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13.2竣工验收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8A8D7D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"_Toc351203589"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13.3工程试车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_Toc351203589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79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0FE9E8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13.4提前交付单位工程的验收</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D3D969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13.5 施工期运行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A284685">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13.6 竣工退场</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F8E185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1D1AA5B">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14.1 竣工结算申请</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28D703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14.2 竣工</w:t>
      </w:r>
      <w:bookmarkStart w:id="2" w:name="_Hlt356058165"/>
      <w:bookmarkStart w:id="3" w:name="_Hlt356058166"/>
      <w:r>
        <w:rPr>
          <w:rStyle w:val="39"/>
          <w:rFonts w:ascii="Times New Roman" w:hAnsi="Times New Roman" w:eastAsia="仿宋_GB2312"/>
          <w:sz w:val="28"/>
          <w:szCs w:val="28"/>
          <w:lang/>
        </w:rPr>
        <w:t>结</w:t>
      </w:r>
      <w:bookmarkEnd w:id="2"/>
      <w:bookmarkEnd w:id="3"/>
      <w:r>
        <w:rPr>
          <w:rStyle w:val="39"/>
          <w:rFonts w:ascii="Times New Roman" w:hAnsi="Times New Roman" w:eastAsia="仿宋_GB2312"/>
          <w:sz w:val="28"/>
          <w:szCs w:val="28"/>
          <w:lang/>
        </w:rPr>
        <w:t>算审核</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51C4FF6">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14.3 甩项竣工协议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695EE7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14.4 最终结清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9C49337">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缺陷责任与保修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6F0F552">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"_Toc351203599"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15.1 工程保修的原则</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_Toc351203599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489E4C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15.2 缺</w:t>
      </w:r>
      <w:bookmarkStart w:id="4" w:name="_Hlt354658487"/>
      <w:bookmarkStart w:id="5" w:name="_Hlt354658488"/>
      <w:r>
        <w:rPr>
          <w:rStyle w:val="39"/>
          <w:rFonts w:ascii="Times New Roman" w:hAnsi="Times New Roman" w:eastAsia="仿宋_GB2312"/>
          <w:sz w:val="28"/>
          <w:szCs w:val="28"/>
          <w:lang/>
        </w:rPr>
        <w:t>陷</w:t>
      </w:r>
      <w:bookmarkEnd w:id="4"/>
      <w:bookmarkEnd w:id="5"/>
      <w:r>
        <w:rPr>
          <w:rStyle w:val="39"/>
          <w:rFonts w:ascii="Times New Roman" w:hAnsi="Times New Roman" w:eastAsia="仿宋_GB2312"/>
          <w:sz w:val="28"/>
          <w:szCs w:val="28"/>
          <w:lang/>
        </w:rPr>
        <w:t>责任期</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5BE058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15.3 质量保证金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2A6EDE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15.4 保修</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89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B58BB2E">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458A69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16.1 发包人违约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E9BDA6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16.2 承包人违约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F10489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16.3 第三人造成的违约</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429BAAC">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229AA57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17.1 不可抗力的确认</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95</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39E82D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"_Toc351203609"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17.2 不可抗力的通知</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_Toc351203609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45D8B2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17.3 不可抗力后果的承担</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96</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25E466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17.4 因不可抗力解除合同</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97</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CDB1E5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EEB318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18.1 工程保险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_Toc351203613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8A39E2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18.2 工伤保险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98</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7C64E5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其他保险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E0374E7">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18.4</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持续保险</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62A929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18.5 保险凭证</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C073E1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18.6 未按约定投保的补救</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99</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0A8CC1E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"_Toc351203619"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18.7 通知义务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_Toc351203619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794EB02">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 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DAD6030">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19.1</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承包人的索赔</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100</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17EBFB9A">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19.2 对承包人索赔的处理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_Toc351203622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101</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66A3E0E">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发包人的索赔</w:t>
      </w:r>
      <w:r>
        <w:rPr>
          <w:rFonts w:ascii="Times New Roman" w:hAnsi="Times New Roman" w:eastAsia="仿宋_GB2312"/>
          <w:sz w:val="28"/>
          <w:szCs w:val="28"/>
          <w:lang/>
        </w:rPr>
        <w:tab/>
      </w:r>
      <w:r>
        <w:rPr>
          <w:rFonts w:hint="eastAsia" w:ascii="Times New Roman" w:hAnsi="Times New Roman" w:eastAsia="仿宋_GB2312"/>
          <w:sz w:val="28"/>
          <w:szCs w:val="28"/>
          <w:lang/>
        </w:rPr>
        <w:t>100</w:t>
      </w:r>
      <w:r>
        <w:rPr>
          <w:rFonts w:ascii="Times New Roman" w:hAnsi="Times New Roman" w:eastAsia="仿宋_GB2312"/>
          <w:sz w:val="28"/>
          <w:szCs w:val="28"/>
          <w:lang/>
        </w:rPr>
        <w:fldChar w:fldCharType="end"/>
      </w:r>
    </w:p>
    <w:p w14:paraId="5646CD59">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19.4 对发包人索赔的处理</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_Toc351203624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6883F791">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19.5 提出索赔的期限</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_Toc351203625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102</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88DD618">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_Toc351203626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87E2444">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20.1和解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_Toc351203627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8ABFCF3">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20.2调解</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_Toc351203628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7452B148">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"_Toc351203629"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20.3争议评审</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_Toc351203629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103</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496ADAF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20.4仲裁或诉讼</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_Toc351203630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5E197BDC">
      <w:pPr>
        <w:pStyle w:val="18"/>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20.5争议解决条款效力</w:t>
      </w:r>
      <w:r>
        <w:rPr>
          <w:rFonts w:ascii="Times New Roman" w:hAnsi="Times New Roman" w:eastAsia="仿宋_GB2312"/>
          <w:sz w:val="28"/>
          <w:szCs w:val="28"/>
          <w:lang/>
        </w:rPr>
        <w:tab/>
      </w:r>
      <w:r>
        <w:rPr>
          <w:rFonts w:ascii="Times New Roman" w:hAnsi="Times New Roman" w:eastAsia="仿宋_GB2312"/>
          <w:sz w:val="28"/>
          <w:szCs w:val="28"/>
          <w:lang/>
        </w:rPr>
        <w:fldChar w:fldCharType="begin"/>
      </w:r>
      <w:r>
        <w:rPr>
          <w:rFonts w:ascii="Times New Roman" w:hAnsi="Times New Roman" w:eastAsia="仿宋_GB2312"/>
          <w:sz w:val="28"/>
          <w:szCs w:val="28"/>
          <w:lang/>
        </w:rPr>
        <w:instrText xml:space="preserve"> PAGEREF _Toc351203631 \h </w:instrText>
      </w:r>
      <w:r>
        <w:rPr>
          <w:rFonts w:ascii="Times New Roman" w:hAnsi="Times New Roman" w:eastAsia="仿宋_GB2312"/>
          <w:sz w:val="28"/>
          <w:szCs w:val="28"/>
          <w:lang/>
        </w:rPr>
        <w:fldChar w:fldCharType="separate"/>
      </w:r>
      <w:r>
        <w:rPr>
          <w:rFonts w:ascii="Times New Roman" w:hAnsi="Times New Roman" w:eastAsia="仿宋_GB2312"/>
          <w:sz w:val="28"/>
          <w:szCs w:val="28"/>
          <w:lang/>
        </w:rPr>
        <w:t>104</w:t>
      </w:r>
      <w:r>
        <w:rPr>
          <w:rFonts w:ascii="Times New Roman" w:hAnsi="Times New Roman" w:eastAsia="仿宋_GB2312"/>
          <w:sz w:val="28"/>
          <w:szCs w:val="28"/>
          <w:lang/>
        </w:rPr>
        <w:fldChar w:fldCharType="end"/>
      </w:r>
      <w:r>
        <w:rPr>
          <w:rFonts w:ascii="Times New Roman" w:hAnsi="Times New Roman" w:eastAsia="仿宋_GB2312"/>
          <w:sz w:val="28"/>
          <w:szCs w:val="28"/>
          <w:lang/>
        </w:rPr>
        <w:fldChar w:fldCharType="end"/>
      </w:r>
    </w:p>
    <w:p w14:paraId="3B4EB0B7">
      <w:pPr>
        <w:pStyle w:val="19"/>
        <w:tabs>
          <w:tab w:val="right" w:leader="dot" w:pos="8810"/>
        </w:tabs>
        <w:rPr>
          <w:rStyle w:val="39"/>
          <w:rFonts w:hint="eastAsia" w:ascii="Times New Roman" w:hAnsi="Times New Roman" w:eastAsia="仿宋_GB2312"/>
          <w:b/>
          <w:sz w:val="28"/>
          <w:szCs w:val="28"/>
          <w:lang/>
        </w:rPr>
      </w:pPr>
    </w:p>
    <w:p w14:paraId="4D1B97D3">
      <w:pPr>
        <w:pStyle w:val="19"/>
        <w:tabs>
          <w:tab w:val="right" w:leader="dot" w:pos="8810"/>
        </w:tabs>
        <w:ind w:left="0" w:leftChars="0" w:firstLine="300" w:firstLineChars="100"/>
        <w:rPr>
          <w:rFonts w:ascii="Times New Roman" w:hAnsi="Times New Roman" w:eastAsia="仿宋_GB2312"/>
          <w:sz w:val="30"/>
          <w:szCs w:val="30"/>
          <w:lang/>
        </w:rPr>
      </w:pPr>
      <w:r>
        <w:rPr>
          <w:rFonts w:ascii="Times New Roman" w:hAnsi="Times New Roman" w:eastAsia="仿宋_GB2312"/>
          <w:sz w:val="30"/>
          <w:szCs w:val="30"/>
          <w:lang/>
        </w:rPr>
        <w:fldChar w:fldCharType="begin"/>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instrText xml:space="preserve">HYPERLINK \l "_Toc351203632"</w:instrText>
      </w:r>
      <w:r>
        <w:rPr>
          <w:rStyle w:val="39"/>
          <w:rFonts w:ascii="Times New Roman" w:hAnsi="Times New Roman" w:eastAsia="仿宋_GB2312"/>
          <w:sz w:val="30"/>
          <w:szCs w:val="30"/>
          <w:lang/>
        </w:rPr>
        <w:instrText xml:space="preserve"> </w:instrText>
      </w:r>
      <w:r>
        <w:rPr>
          <w:rFonts w:ascii="Times New Roman" w:hAnsi="Times New Roman" w:eastAsia="仿宋_GB2312"/>
          <w:sz w:val="30"/>
          <w:szCs w:val="30"/>
          <w:lang/>
        </w:rPr>
        <w:fldChar w:fldCharType="separate"/>
      </w:r>
      <w:r>
        <w:rPr>
          <w:rStyle w:val="39"/>
          <w:rFonts w:ascii="Times New Roman" w:hAnsi="Times New Roman" w:eastAsia="仿宋_GB2312"/>
          <w:b/>
          <w:sz w:val="30"/>
          <w:szCs w:val="30"/>
          <w:lang/>
        </w:rPr>
        <w:t>第三部分 专用合同条款</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28"/>
          <w:szCs w:val="28"/>
          <w:lang/>
        </w:rPr>
        <w:t>…</w:t>
      </w:r>
      <w:r>
        <w:rPr>
          <w:rFonts w:hint="eastAsia" w:ascii="Times New Roman" w:hAnsi="Times New Roman" w:eastAsia="仿宋_GB2312"/>
          <w:sz w:val="28"/>
          <w:szCs w:val="28"/>
          <w:lang/>
        </w:rPr>
        <w:t>.................</w:t>
      </w:r>
      <w:r>
        <w:rPr>
          <w:rFonts w:ascii="Times New Roman" w:hAnsi="Times New Roman" w:eastAsia="仿宋_GB2312"/>
          <w:sz w:val="30"/>
          <w:szCs w:val="30"/>
          <w:lang/>
        </w:rPr>
        <w:fldChar w:fldCharType="end"/>
      </w:r>
      <w:r>
        <w:rPr>
          <w:rFonts w:hint="eastAsia" w:ascii="Times New Roman" w:hAnsi="Times New Roman" w:eastAsia="仿宋_GB2312"/>
          <w:sz w:val="30"/>
          <w:szCs w:val="30"/>
          <w:lang/>
        </w:rPr>
        <w:t>104</w:t>
      </w:r>
    </w:p>
    <w:p w14:paraId="12A86462">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 一般约定</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04</w:t>
      </w:r>
    </w:p>
    <w:p w14:paraId="257EC646">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 发包人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08</w:t>
      </w:r>
    </w:p>
    <w:p w14:paraId="300EEA82">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3. 承包人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09</w:t>
      </w:r>
    </w:p>
    <w:p w14:paraId="7EC3A120">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4. 监理人</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12</w:t>
      </w:r>
    </w:p>
    <w:p w14:paraId="4E3A20E7">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5. 工程质量</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13</w:t>
      </w:r>
    </w:p>
    <w:p w14:paraId="0F848677">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6. 安全文明施工与环境保护</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14:paraId="587A087A">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"_Toc351203639"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7. 工期和进度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14</w:t>
      </w:r>
    </w:p>
    <w:p w14:paraId="6EE42DA1">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8. 材料与设备</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16</w:t>
      </w:r>
    </w:p>
    <w:p w14:paraId="4BBE8C31">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9. 试验与检验</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17</w:t>
      </w:r>
    </w:p>
    <w:p w14:paraId="16885E44">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10. 变更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18</w:t>
      </w:r>
    </w:p>
    <w:p w14:paraId="2F65CD7B">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"_Toc351203643"</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11. 价格调整</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19</w:t>
      </w:r>
    </w:p>
    <w:p w14:paraId="01FB09E2">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"_Toc351203644"</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12. 合同价格、计量与支付</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20</w:t>
      </w:r>
    </w:p>
    <w:p w14:paraId="0BA4BB5E">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"_Toc351203645"</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13.</w:t>
      </w:r>
      <w:r>
        <w:rPr>
          <w:rStyle w:val="39"/>
          <w:rFonts w:hint="eastAsia" w:ascii="Times New Roman" w:hAnsi="Times New Roman" w:eastAsia="仿宋_GB2312"/>
          <w:sz w:val="28"/>
          <w:szCs w:val="28"/>
          <w:lang/>
        </w:rPr>
        <w:t xml:space="preserve"> </w:t>
      </w:r>
      <w:r>
        <w:rPr>
          <w:rStyle w:val="39"/>
          <w:rFonts w:ascii="Times New Roman" w:hAnsi="Times New Roman" w:eastAsia="仿宋_GB2312"/>
          <w:sz w:val="28"/>
          <w:szCs w:val="28"/>
          <w:lang/>
        </w:rPr>
        <w:t>验收和工程试车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23</w:t>
      </w:r>
    </w:p>
    <w:p w14:paraId="0C3FCED5">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"_Toc351203646"</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14. 竣工结算</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24</w:t>
      </w:r>
    </w:p>
    <w:p w14:paraId="5F0DB0C8">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"_Toc351203647"</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15. 缺陷责任期与保修</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25</w:t>
      </w:r>
    </w:p>
    <w:p w14:paraId="5C65B798">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"_Toc351203648"</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16. 违约</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26</w:t>
      </w:r>
    </w:p>
    <w:p w14:paraId="282BE0C8">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"_Toc351203649"</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17. 不可抗力</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28</w:t>
      </w:r>
    </w:p>
    <w:p w14:paraId="68F4B9F8">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"_Toc351203650"</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18. 保险</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14:paraId="4C69AE99">
      <w:pPr>
        <w:pStyle w:val="26"/>
        <w:ind w:firstLine="280" w:firstLineChars="100"/>
        <w:rPr>
          <w:rFonts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"_Toc351203651"</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20. 争议解决</w:t>
      </w:r>
      <w:r>
        <w:rPr>
          <w:rFonts w:ascii="Times New Roman" w:hAnsi="Times New Roman" w:eastAsia="仿宋_GB2312"/>
          <w:sz w:val="28"/>
          <w:szCs w:val="28"/>
          <w:lang/>
        </w:rPr>
        <w:tab/>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29</w:t>
      </w:r>
    </w:p>
    <w:p w14:paraId="4D963CDE">
      <w:pPr>
        <w:pStyle w:val="26"/>
        <w:ind w:firstLine="280" w:firstLineChars="100"/>
        <w:rPr>
          <w:rFonts w:hint="eastAsia" w:ascii="Times New Roman" w:hAnsi="Times New Roman" w:eastAsia="仿宋_GB2312"/>
          <w:sz w:val="28"/>
          <w:szCs w:val="28"/>
          <w:lang/>
        </w:rPr>
      </w:pPr>
      <w:r>
        <w:rPr>
          <w:rFonts w:ascii="Times New Roman" w:hAnsi="Times New Roman" w:eastAsia="仿宋_GB2312"/>
          <w:sz w:val="28"/>
          <w:szCs w:val="28"/>
          <w:lang/>
        </w:rPr>
        <w:fldChar w:fldCharType="begin"/>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instrText xml:space="preserve">HYPERLINK \l "_Toc351203652"</w:instrText>
      </w:r>
      <w:r>
        <w:rPr>
          <w:rStyle w:val="39"/>
          <w:rFonts w:ascii="Times New Roman" w:hAnsi="Times New Roman" w:eastAsia="仿宋_GB2312"/>
          <w:sz w:val="28"/>
          <w:szCs w:val="28"/>
          <w:lang/>
        </w:rPr>
        <w:instrText xml:space="preserve"> </w:instrText>
      </w:r>
      <w:r>
        <w:rPr>
          <w:rFonts w:ascii="Times New Roman" w:hAnsi="Times New Roman" w:eastAsia="仿宋_GB2312"/>
          <w:sz w:val="28"/>
          <w:szCs w:val="28"/>
          <w:lang/>
        </w:rPr>
        <w:fldChar w:fldCharType="separate"/>
      </w:r>
      <w:r>
        <w:rPr>
          <w:rStyle w:val="39"/>
          <w:rFonts w:ascii="Times New Roman" w:hAnsi="Times New Roman" w:eastAsia="仿宋_GB2312"/>
          <w:sz w:val="28"/>
          <w:szCs w:val="28"/>
          <w:lang/>
        </w:rPr>
        <w:t>附件</w:t>
      </w:r>
      <w:r>
        <w:rPr>
          <w:rFonts w:hint="eastAsia" w:ascii="Times New Roman" w:hAnsi="Times New Roman" w:eastAsia="仿宋_GB2312"/>
          <w:sz w:val="28"/>
          <w:szCs w:val="28"/>
          <w:lang/>
        </w:rPr>
        <w:t>...........................................................................................1</w:t>
      </w:r>
      <w:r>
        <w:rPr>
          <w:rFonts w:ascii="Times New Roman" w:hAnsi="Times New Roman" w:eastAsia="仿宋_GB2312"/>
          <w:sz w:val="28"/>
          <w:szCs w:val="28"/>
          <w:lang/>
        </w:rPr>
        <w:fldChar w:fldCharType="end"/>
      </w:r>
      <w:r>
        <w:rPr>
          <w:rFonts w:hint="eastAsia" w:ascii="Times New Roman" w:hAnsi="Times New Roman" w:eastAsia="仿宋_GB2312"/>
          <w:sz w:val="28"/>
          <w:szCs w:val="28"/>
          <w:lang/>
        </w:rPr>
        <w:t>31</w:t>
      </w:r>
    </w:p>
    <w:p w14:paraId="18203B16">
      <w:pPr>
        <w:pStyle w:val="4"/>
        <w:jc w:val="center"/>
        <w:rPr>
          <w:rFonts w:ascii="Times New Roman" w:hAnsi="Times New Roman" w:eastAsia="仿宋_GB2312"/>
          <w:sz w:val="28"/>
          <w:szCs w:val="28"/>
        </w:rPr>
        <w:sectPr>
          <w:footerReference r:id="rId4" w:type="first"/>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sz w:val="28"/>
          <w:szCs w:val="28"/>
        </w:rPr>
        <w:fldChar w:fldCharType="end"/>
      </w:r>
      <w:bookmarkStart w:id="6" w:name="_Toc351203480"/>
    </w:p>
    <w:p w14:paraId="59EB1C2B">
      <w:pPr>
        <w:pStyle w:val="4"/>
        <w:jc w:val="center"/>
        <w:rPr>
          <w:rFonts w:ascii="Times New Roman" w:hAnsi="Times New Roman" w:eastAsia="华文中宋"/>
          <w:b w:val="0"/>
          <w:color w:val="000000"/>
          <w:sz w:val="44"/>
          <w:szCs w:val="44"/>
        </w:rPr>
      </w:pPr>
      <w:r>
        <w:rPr>
          <w:rFonts w:ascii="华文中宋" w:hAnsi="华文中宋" w:eastAsia="华文中宋"/>
          <w:sz w:val="44"/>
          <w:szCs w:val="44"/>
        </w:rPr>
        <w:t>第一部分 合同协议书</w:t>
      </w:r>
      <w:bookmarkEnd w:id="0"/>
      <w:bookmarkEnd w:id="1"/>
      <w:bookmarkEnd w:id="6"/>
    </w:p>
    <w:p w14:paraId="7D821372">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发包人（全称）：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19CBDD64">
      <w:pPr>
        <w:spacing w:line="360" w:lineRule="auto"/>
        <w:rPr>
          <w:rFonts w:ascii="Times New Roman" w:hAnsi="Times New Roman" w:eastAsia="仿宋_GB2312"/>
          <w:b/>
          <w:color w:val="000000"/>
          <w:sz w:val="30"/>
          <w:szCs w:val="30"/>
          <w:u w:val="single"/>
        </w:rPr>
      </w:pPr>
      <w:r>
        <w:rPr>
          <w:rFonts w:ascii="Times New Roman" w:hAnsi="Times New Roman" w:eastAsia="仿宋_GB2312"/>
          <w:b/>
          <w:color w:val="000000"/>
          <w:sz w:val="30"/>
          <w:szCs w:val="30"/>
        </w:rPr>
        <w:t>承包人（全称）：</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 xml:space="preserve"> </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r>
        <w:rPr>
          <w:rFonts w:hint="eastAsia" w:ascii="Times New Roman" w:hAnsi="Times New Roman" w:eastAsia="仿宋_GB2312"/>
          <w:b/>
          <w:color w:val="000000"/>
          <w:sz w:val="30"/>
          <w:szCs w:val="30"/>
          <w:u w:val="single"/>
        </w:rPr>
        <w:t xml:space="preserve">  </w:t>
      </w:r>
      <w:r>
        <w:rPr>
          <w:rFonts w:ascii="Times New Roman" w:hAnsi="Times New Roman" w:eastAsia="仿宋_GB2312"/>
          <w:b/>
          <w:color w:val="000000"/>
          <w:sz w:val="30"/>
          <w:szCs w:val="30"/>
          <w:u w:val="single"/>
        </w:rPr>
        <w:t></w:t>
      </w:r>
    </w:p>
    <w:p w14:paraId="54D61C86">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根据《中华人民共和国合同法》、《中华人民共和国建筑法》及有关法律规定，遵循平等、自愿、公平和诚实信用的原则，双方就</w:t>
      </w:r>
    </w:p>
    <w:p w14:paraId="433BD92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工程施工及有关事项协商一致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共同达成如下协议：</w:t>
      </w:r>
    </w:p>
    <w:p w14:paraId="297BDCB6">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7" w:name="_Toc351203481"/>
      <w:r>
        <w:rPr>
          <w:rFonts w:ascii="Times New Roman" w:hAnsi="Times New Roman" w:eastAsia="黑体"/>
          <w:b w:val="0"/>
          <w:color w:val="000000"/>
          <w:sz w:val="32"/>
          <w:szCs w:val="32"/>
        </w:rPr>
        <w:t>一、工程概况</w:t>
      </w:r>
      <w:bookmarkEnd w:id="7"/>
    </w:p>
    <w:p w14:paraId="7A0D24D0">
      <w:pPr>
        <w:spacing w:line="360" w:lineRule="auto"/>
        <w:ind w:firstLine="588" w:firstLineChars="196"/>
        <w:rPr>
          <w:rFonts w:ascii="Times New Roman" w:hAnsi="Times New Roman" w:eastAsia="仿宋_GB2312"/>
          <w:color w:val="000000"/>
          <w:sz w:val="30"/>
          <w:szCs w:val="30"/>
          <w:u w:val="single"/>
        </w:rPr>
      </w:pPr>
      <w:r>
        <w:rPr>
          <w:rFonts w:ascii="Times New Roman" w:hAnsi="Times New Roman" w:eastAsia="仿宋_GB2312"/>
          <w:bCs/>
          <w:color w:val="000000"/>
          <w:sz w:val="30"/>
          <w:szCs w:val="30"/>
        </w:rPr>
        <w:t>1.工程名称</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F7DF8B1">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2.工程地点：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ACC1BC4">
      <w:pPr>
        <w:spacing w:line="360" w:lineRule="auto"/>
        <w:ind w:firstLine="588" w:firstLineChars="196"/>
        <w:rPr>
          <w:rFonts w:ascii="Times New Roman" w:hAnsi="Times New Roman" w:eastAsia="仿宋_GB2312"/>
          <w:bCs/>
          <w:color w:val="000000"/>
          <w:sz w:val="30"/>
          <w:szCs w:val="30"/>
        </w:rPr>
      </w:pPr>
      <w:r>
        <w:rPr>
          <w:rFonts w:ascii="Times New Roman" w:hAnsi="Times New Roman" w:eastAsia="仿宋_GB2312"/>
          <w:bCs/>
          <w:color w:val="000000"/>
          <w:sz w:val="30"/>
          <w:szCs w:val="30"/>
        </w:rPr>
        <w:t>3.工程立项批准文号：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778A06A6">
      <w:pPr>
        <w:spacing w:line="360" w:lineRule="auto"/>
        <w:ind w:firstLine="588" w:firstLineChars="196"/>
        <w:rPr>
          <w:rFonts w:hint="eastAsia" w:ascii="Times New Roman" w:hAnsi="Times New Roman" w:eastAsia="仿宋_GB2312"/>
          <w:bCs/>
          <w:color w:val="000000"/>
          <w:sz w:val="30"/>
          <w:szCs w:val="30"/>
        </w:rPr>
      </w:pPr>
      <w:r>
        <w:rPr>
          <w:rFonts w:ascii="Times New Roman" w:hAnsi="Times New Roman" w:eastAsia="仿宋_GB2312"/>
          <w:bCs/>
          <w:color w:val="000000"/>
          <w:sz w:val="30"/>
          <w:szCs w:val="30"/>
        </w:rPr>
        <w:t>4.资金来源：</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34CC7530">
      <w:pPr>
        <w:spacing w:line="360" w:lineRule="auto"/>
        <w:ind w:firstLine="588" w:firstLineChars="196"/>
        <w:rPr>
          <w:rFonts w:hint="eastAsia" w:ascii="Times New Roman" w:hAnsi="Times New Roman" w:eastAsia="仿宋_GB2312"/>
          <w:bCs/>
          <w:color w:val="000000"/>
          <w:sz w:val="30"/>
          <w:szCs w:val="30"/>
        </w:rPr>
      </w:pPr>
      <w:r>
        <w:rPr>
          <w:rFonts w:hint="eastAsia" w:ascii="Times New Roman" w:hAnsi="Times New Roman" w:eastAsia="仿宋_GB2312"/>
          <w:bCs/>
          <w:color w:val="000000"/>
          <w:sz w:val="30"/>
          <w:szCs w:val="30"/>
        </w:rPr>
        <w:t>5.工程内容：</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bCs/>
          <w:color w:val="000000"/>
          <w:sz w:val="30"/>
          <w:szCs w:val="30"/>
        </w:rPr>
        <w:t>。</w:t>
      </w:r>
    </w:p>
    <w:p w14:paraId="2AE69A53">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color w:val="000000"/>
          <w:sz w:val="30"/>
          <w:szCs w:val="32"/>
        </w:rPr>
        <w:t>群体工程应附《</w:t>
      </w:r>
      <w:r>
        <w:rPr>
          <w:rFonts w:ascii="Times New Roman" w:hAnsi="Times New Roman" w:eastAsia="仿宋_GB2312"/>
          <w:color w:val="000000"/>
          <w:sz w:val="30"/>
          <w:szCs w:val="32"/>
        </w:rPr>
        <w:t>承包人承揽工程项目一览表</w:t>
      </w:r>
      <w:r>
        <w:rPr>
          <w:rFonts w:hint="eastAsia" w:ascii="Times New Roman" w:hAnsi="Times New Roman" w:eastAsia="仿宋_GB2312"/>
          <w:color w:val="000000"/>
          <w:sz w:val="30"/>
          <w:szCs w:val="32"/>
        </w:rPr>
        <w:t>》（附件1）。</w:t>
      </w:r>
    </w:p>
    <w:p w14:paraId="5D23A0E1">
      <w:pPr>
        <w:spacing w:line="360" w:lineRule="auto"/>
        <w:ind w:firstLine="588" w:firstLineChars="196"/>
        <w:rPr>
          <w:rFonts w:ascii="Times New Roman" w:hAnsi="Times New Roman" w:eastAsia="仿宋_GB2312"/>
          <w:bCs/>
          <w:color w:val="000000"/>
          <w:sz w:val="30"/>
          <w:szCs w:val="30"/>
        </w:rPr>
      </w:pPr>
      <w:r>
        <w:rPr>
          <w:rFonts w:hint="eastAsia" w:ascii="Times New Roman" w:hAnsi="Times New Roman" w:eastAsia="仿宋_GB2312"/>
          <w:bCs/>
          <w:color w:val="000000"/>
          <w:sz w:val="30"/>
          <w:szCs w:val="30"/>
        </w:rPr>
        <w:t>6</w:t>
      </w:r>
      <w:r>
        <w:rPr>
          <w:rFonts w:ascii="Times New Roman" w:hAnsi="Times New Roman" w:eastAsia="仿宋_GB2312"/>
          <w:bCs/>
          <w:color w:val="000000"/>
          <w:sz w:val="30"/>
          <w:szCs w:val="30"/>
        </w:rPr>
        <w:t>.工程承包范围：</w:t>
      </w:r>
    </w:p>
    <w:p w14:paraId="74D7B94B">
      <w:pPr>
        <w:spacing w:line="360" w:lineRule="auto"/>
        <w:ind w:firstLine="579" w:firstLineChars="193"/>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p>
    <w:p w14:paraId="65A1022A">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w:t>
      </w:r>
    </w:p>
    <w:p w14:paraId="5B48F782">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 w:val="0"/>
          <w:color w:val="000000"/>
          <w:sz w:val="32"/>
          <w:szCs w:val="32"/>
        </w:rPr>
        <w:t xml:space="preserve">   </w:t>
      </w:r>
      <w:bookmarkStart w:id="8" w:name="_Toc351203482"/>
      <w:r>
        <w:rPr>
          <w:rFonts w:ascii="Times New Roman" w:hAnsi="Times New Roman" w:eastAsia="黑体"/>
          <w:b w:val="0"/>
          <w:color w:val="000000"/>
          <w:sz w:val="32"/>
          <w:szCs w:val="32"/>
        </w:rPr>
        <w:t>二、合同工期</w:t>
      </w:r>
      <w:bookmarkEnd w:id="8"/>
    </w:p>
    <w:p w14:paraId="1CE6AE12">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计划开工日期：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7DD620DA">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计划竣工日期：</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日。</w:t>
      </w:r>
    </w:p>
    <w:p w14:paraId="6D42EC79">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工期总日历天数：</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天。工期总日历天数与根据前述计划开竣工日期计算的工期天数不一致的，以工期总日历天数为准。</w:t>
      </w:r>
    </w:p>
    <w:p w14:paraId="5BA40E3C">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9" w:name="_Toc351203483"/>
      <w:r>
        <w:rPr>
          <w:rFonts w:ascii="Times New Roman" w:hAnsi="Times New Roman" w:eastAsia="黑体"/>
          <w:b w:val="0"/>
          <w:color w:val="000000"/>
          <w:sz w:val="32"/>
          <w:szCs w:val="32"/>
        </w:rPr>
        <w:t>三、质量标准</w:t>
      </w:r>
      <w:bookmarkEnd w:id="9"/>
    </w:p>
    <w:p w14:paraId="1762A5A3">
      <w:pPr>
        <w:spacing w:line="360" w:lineRule="auto"/>
        <w:ind w:firstLine="459"/>
        <w:rPr>
          <w:rFonts w:ascii="Times New Roman" w:hAnsi="Times New Roman" w:eastAsia="仿宋_GB2312"/>
          <w:color w:val="000000"/>
          <w:sz w:val="30"/>
          <w:szCs w:val="30"/>
        </w:rPr>
      </w:pPr>
      <w:r>
        <w:rPr>
          <w:rFonts w:ascii="Times New Roman" w:hAnsi="Times New Roman" w:eastAsia="仿宋_GB2312"/>
          <w:color w:val="000000"/>
          <w:sz w:val="30"/>
          <w:szCs w:val="30"/>
        </w:rPr>
        <w:t>工程质量符合</w:t>
      </w:r>
      <w:r>
        <w:rPr>
          <w:rFonts w:ascii="Times New Roman" w:hAnsi="Times New Roman" w:eastAsia="仿宋_GB2312"/>
          <w:color w:val="000000"/>
          <w:sz w:val="30"/>
          <w:szCs w:val="30"/>
          <w:u w:val="single"/>
        </w:rPr>
        <w:t></w:t>
      </w:r>
      <w:r>
        <w:rPr>
          <w:rFonts w:ascii="Times New Roman" w:hAnsi="Times New Roman" w:eastAsia="仿宋_GB2312"/>
          <w:color w:val="000000"/>
          <w:sz w:val="30"/>
          <w:szCs w:val="30"/>
        </w:rPr>
        <w:t>标准。</w:t>
      </w:r>
    </w:p>
    <w:p w14:paraId="0EACE52B">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0" w:name="_Toc351203484"/>
      <w:r>
        <w:rPr>
          <w:rFonts w:ascii="Times New Roman" w:hAnsi="Times New Roman" w:eastAsia="黑体"/>
          <w:b w:val="0"/>
          <w:color w:val="000000"/>
          <w:sz w:val="32"/>
          <w:szCs w:val="32"/>
        </w:rPr>
        <w:t>四、签约合同价与合同价格形式</w:t>
      </w:r>
      <w:bookmarkEnd w:id="10"/>
      <w:r>
        <w:rPr>
          <w:rFonts w:ascii="Times New Roman" w:hAnsi="Times New Roman" w:eastAsia="黑体"/>
          <w:b w:val="0"/>
          <w:color w:val="000000"/>
          <w:sz w:val="32"/>
          <w:szCs w:val="32"/>
        </w:rPr>
        <w:tab/>
      </w:r>
    </w:p>
    <w:p w14:paraId="376431A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1.签约合同价为：</w:t>
      </w:r>
    </w:p>
    <w:p w14:paraId="3B7A7A29">
      <w:pPr>
        <w:spacing w:line="360" w:lineRule="auto"/>
        <w:ind w:firstLine="750" w:firstLineChars="2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64372A0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其中：</w:t>
      </w:r>
    </w:p>
    <w:p w14:paraId="4AFFF30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（1）安全文明施工费：</w:t>
      </w:r>
    </w:p>
    <w:p w14:paraId="2C0EE2D3">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6D55782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（2）材料和工程设备暂估价金额：</w:t>
      </w:r>
    </w:p>
    <w:p w14:paraId="4C9AFA83">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5A5D8803">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（3）专业工程暂估价金额：</w:t>
      </w:r>
    </w:p>
    <w:p w14:paraId="5170E737">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340844A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（4）暂列金额：</w:t>
      </w:r>
    </w:p>
    <w:p w14:paraId="3E6EACD8">
      <w:pPr>
        <w:spacing w:line="360" w:lineRule="auto"/>
        <w:ind w:firstLine="1350" w:firstLineChars="450"/>
        <w:rPr>
          <w:rFonts w:ascii="Times New Roman" w:hAnsi="Times New Roman" w:eastAsia="仿宋_GB2312"/>
          <w:color w:val="000000"/>
          <w:sz w:val="30"/>
          <w:szCs w:val="30"/>
        </w:rPr>
      </w:pPr>
      <w:r>
        <w:rPr>
          <w:rFonts w:ascii="Times New Roman" w:hAnsi="Times New Roman" w:eastAsia="仿宋_GB2312"/>
          <w:color w:val="000000"/>
          <w:sz w:val="30"/>
          <w:szCs w:val="30"/>
        </w:rPr>
        <w:t>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p>
    <w:p w14:paraId="3530398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2.合同价格形式：</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1E6DF6E">
      <w:pPr>
        <w:pStyle w:val="5"/>
        <w:spacing w:before="120" w:after="120" w:line="360" w:lineRule="auto"/>
        <w:rPr>
          <w:rFonts w:ascii="Times New Roman" w:hAnsi="Times New Roman" w:eastAsia="黑体"/>
          <w:b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1" w:name="_Toc351203485"/>
      <w:r>
        <w:rPr>
          <w:rFonts w:ascii="Times New Roman" w:hAnsi="Times New Roman" w:eastAsia="黑体"/>
          <w:b w:val="0"/>
          <w:color w:val="000000"/>
          <w:sz w:val="32"/>
          <w:szCs w:val="32"/>
        </w:rPr>
        <w:t>五、</w:t>
      </w:r>
      <w:bookmarkEnd w:id="11"/>
      <w:r>
        <w:rPr>
          <w:rFonts w:ascii="Times New Roman" w:hAnsi="Times New Roman" w:eastAsia="黑体"/>
          <w:b w:val="0"/>
          <w:color w:val="000000"/>
          <w:sz w:val="32"/>
          <w:szCs w:val="32"/>
        </w:rPr>
        <w:t>项目经理</w:t>
      </w:r>
    </w:p>
    <w:p w14:paraId="7022330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承包人项目经理：</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w:t>
      </w:r>
      <w:r>
        <w:rPr>
          <w:rFonts w:ascii="Times New Roman" w:hAnsi="Times New Roman" w:eastAsia="仿宋_GB2312"/>
          <w:color w:val="000000"/>
          <w:sz w:val="30"/>
          <w:szCs w:val="30"/>
        </w:rPr>
        <w:t>。</w:t>
      </w:r>
    </w:p>
    <w:p w14:paraId="5B84F880">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2" w:name="_Toc351203486"/>
      <w:r>
        <w:rPr>
          <w:rFonts w:ascii="Times New Roman" w:hAnsi="Times New Roman" w:eastAsia="黑体"/>
          <w:b w:val="0"/>
          <w:color w:val="000000"/>
          <w:sz w:val="32"/>
          <w:szCs w:val="32"/>
        </w:rPr>
        <w:t>六、合同文件构成</w:t>
      </w:r>
      <w:bookmarkEnd w:id="12"/>
    </w:p>
    <w:p w14:paraId="04CB9DD6">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本协议书与下列文件一起构成合同文件：</w:t>
      </w:r>
    </w:p>
    <w:p w14:paraId="4117C809">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（1）中标通知书（如果有）；</w:t>
      </w:r>
    </w:p>
    <w:p w14:paraId="0CC365C0">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（2）投标函及其附录（如果有）； </w:t>
      </w:r>
    </w:p>
    <w:p w14:paraId="07E898E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（3）专用合同条款及其附件；</w:t>
      </w:r>
    </w:p>
    <w:p w14:paraId="5DB08712">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（4）通用合同条款；</w:t>
      </w:r>
    </w:p>
    <w:p w14:paraId="3EBBE737">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（5）技术标准和要求；</w:t>
      </w:r>
    </w:p>
    <w:p w14:paraId="54CE392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（6）图纸；</w:t>
      </w:r>
    </w:p>
    <w:p w14:paraId="3A7B5DDC">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（7）已标价工程量清单或预算书；</w:t>
      </w:r>
    </w:p>
    <w:p w14:paraId="7552ABE4">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（8）其他合同文件。</w:t>
      </w:r>
    </w:p>
    <w:p w14:paraId="44D71FF6">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在合同订立及履行过程中形成的与合同有关的文件均构成合同文件组成部分。</w:t>
      </w:r>
    </w:p>
    <w:p w14:paraId="04A3F763">
      <w:pPr>
        <w:autoSpaceDE w:val="0"/>
        <w:autoSpaceDN w:val="0"/>
        <w:adjustRightInd w:val="0"/>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上述各项合同文件包括合同当事人就该项合同文件所作出的补充和修改，属于同一类内容的文件，应以最新签署的为准。</w:t>
      </w:r>
      <w:r>
        <w:rPr>
          <w:rFonts w:hint="eastAsia" w:ascii="Times New Roman" w:hAnsi="Times New Roman" w:eastAsia="仿宋_GB2312"/>
          <w:color w:val="000000"/>
          <w:sz w:val="30"/>
          <w:szCs w:val="30"/>
        </w:rPr>
        <w:t>专用合同条款及其附件须经合同当事人签字或盖章。</w:t>
      </w:r>
    </w:p>
    <w:p w14:paraId="6BD9529D">
      <w:pPr>
        <w:pStyle w:val="5"/>
        <w:spacing w:before="120" w:after="120" w:line="360" w:lineRule="auto"/>
        <w:rPr>
          <w:rFonts w:ascii="Times New Roman" w:hAnsi="Times New Roman" w:eastAsia="黑体"/>
          <w:b w:val="0"/>
          <w:bCs w:val="0"/>
          <w:color w:val="000000"/>
          <w:sz w:val="32"/>
          <w:szCs w:val="32"/>
        </w:rPr>
      </w:pPr>
      <w:r>
        <w:rPr>
          <w:rFonts w:ascii="Times New Roman" w:hAnsi="Times New Roman" w:eastAsia="黑体"/>
          <w:b w:val="0"/>
          <w:bCs w:val="0"/>
          <w:color w:val="000000"/>
          <w:sz w:val="32"/>
          <w:szCs w:val="32"/>
        </w:rPr>
        <w:t xml:space="preserve">   </w:t>
      </w:r>
      <w:r>
        <w:rPr>
          <w:rFonts w:ascii="Times New Roman" w:hAnsi="Times New Roman" w:eastAsia="黑体"/>
          <w:b w:val="0"/>
          <w:color w:val="000000"/>
          <w:sz w:val="32"/>
          <w:szCs w:val="32"/>
        </w:rPr>
        <w:t xml:space="preserve"> </w:t>
      </w:r>
      <w:bookmarkStart w:id="13" w:name="_Toc351203487"/>
      <w:r>
        <w:rPr>
          <w:rFonts w:ascii="Times New Roman" w:hAnsi="Times New Roman" w:eastAsia="黑体"/>
          <w:b w:val="0"/>
          <w:color w:val="000000"/>
          <w:sz w:val="32"/>
          <w:szCs w:val="32"/>
        </w:rPr>
        <w:t>七、承诺</w:t>
      </w:r>
      <w:bookmarkEnd w:id="13"/>
    </w:p>
    <w:p w14:paraId="7CDFFAC0">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1.发包人承诺按照法律规定履行项目审批手续、筹集工程建设资金并按照合同约定的期限和方式支付合同价款。</w:t>
      </w:r>
    </w:p>
    <w:p w14:paraId="168BAFDE">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2.承包人承诺按照法律规定及合同约定组织完成工程施工，确保工程质量和安全，不进行转包及违法分包，并在缺陷责任期及保修期内承担相应的工程维修责任。</w:t>
      </w:r>
    </w:p>
    <w:p w14:paraId="5D485CBF">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3.发包人和承包人通过招投标形式签订合同的，双方理解并</w:t>
      </w:r>
      <w:r>
        <w:rPr>
          <w:rFonts w:hint="eastAsia" w:ascii="Times New Roman" w:hAnsi="Times New Roman" w:eastAsia="仿宋_GB2312"/>
          <w:bCs/>
          <w:color w:val="000000"/>
          <w:sz w:val="30"/>
          <w:szCs w:val="30"/>
        </w:rPr>
        <w:t>承诺</w:t>
      </w:r>
      <w:r>
        <w:rPr>
          <w:rFonts w:ascii="Times New Roman" w:hAnsi="Times New Roman" w:eastAsia="仿宋_GB2312"/>
          <w:bCs/>
          <w:color w:val="000000"/>
          <w:sz w:val="30"/>
          <w:szCs w:val="30"/>
        </w:rPr>
        <w:t>不再就同一工程另行签订与合同实质性内容相背离的协议。</w:t>
      </w:r>
    </w:p>
    <w:p w14:paraId="2E91EBDC">
      <w:pPr>
        <w:spacing w:line="360" w:lineRule="auto"/>
        <w:rPr>
          <w:rFonts w:ascii="Times New Roman" w:hAnsi="Times New Roman" w:eastAsia="黑体"/>
          <w:bCs/>
          <w:color w:val="000000"/>
          <w:sz w:val="32"/>
          <w:szCs w:val="32"/>
        </w:rPr>
      </w:pPr>
      <w:bookmarkStart w:id="14" w:name="_Toc351203488"/>
      <w:r>
        <w:rPr>
          <w:rFonts w:hint="eastAsia" w:ascii="Times New Roman" w:hAnsi="Times New Roman" w:eastAsia="黑体"/>
          <w:b/>
          <w:color w:val="000000"/>
          <w:sz w:val="32"/>
          <w:szCs w:val="32"/>
        </w:rPr>
        <w:t xml:space="preserve">    </w:t>
      </w:r>
      <w:r>
        <w:rPr>
          <w:rFonts w:ascii="Times New Roman" w:hAnsi="Times New Roman" w:eastAsia="黑体"/>
          <w:b/>
          <w:color w:val="000000"/>
          <w:sz w:val="32"/>
          <w:szCs w:val="32"/>
        </w:rPr>
        <w:t>八、词语含义</w:t>
      </w:r>
      <w:bookmarkEnd w:id="14"/>
    </w:p>
    <w:p w14:paraId="45E67E9E">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本协议书中词语含义与第二部分通用合同条款中赋予的含义相同。</w:t>
      </w:r>
    </w:p>
    <w:p w14:paraId="41FB651A">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r>
        <w:rPr>
          <w:rFonts w:ascii="Times New Roman" w:hAnsi="Times New Roman" w:eastAsia="黑体"/>
          <w:b w:val="0"/>
          <w:color w:val="000000"/>
          <w:sz w:val="32"/>
          <w:szCs w:val="32"/>
        </w:rPr>
        <w:t xml:space="preserve">  </w:t>
      </w:r>
      <w:bookmarkStart w:id="15" w:name="_Toc351203489"/>
      <w:r>
        <w:rPr>
          <w:rFonts w:ascii="Times New Roman" w:hAnsi="Times New Roman" w:eastAsia="黑体"/>
          <w:b w:val="0"/>
          <w:color w:val="000000"/>
          <w:sz w:val="32"/>
          <w:szCs w:val="32"/>
        </w:rPr>
        <w:t>九、签订时间</w:t>
      </w:r>
      <w:bookmarkEnd w:id="15"/>
    </w:p>
    <w:p w14:paraId="0ADE72B8">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本合同于</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年</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月</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日签订。</w:t>
      </w:r>
    </w:p>
    <w:p w14:paraId="137BE1AB">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6" w:name="_Toc351203490"/>
      <w:r>
        <w:rPr>
          <w:rFonts w:ascii="Times New Roman" w:hAnsi="Times New Roman" w:eastAsia="黑体"/>
          <w:b w:val="0"/>
          <w:color w:val="000000"/>
          <w:sz w:val="32"/>
          <w:szCs w:val="32"/>
        </w:rPr>
        <w:t>十、签订地点</w:t>
      </w:r>
      <w:bookmarkEnd w:id="16"/>
    </w:p>
    <w:p w14:paraId="3130EBCF">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本合同在</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签订。</w:t>
      </w:r>
    </w:p>
    <w:p w14:paraId="184A0B8E">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7" w:name="_Toc351203491"/>
      <w:r>
        <w:rPr>
          <w:rFonts w:ascii="Times New Roman" w:hAnsi="Times New Roman" w:eastAsia="黑体"/>
          <w:b w:val="0"/>
          <w:color w:val="000000"/>
          <w:sz w:val="32"/>
          <w:szCs w:val="32"/>
        </w:rPr>
        <w:t>十一、补充协议</w:t>
      </w:r>
      <w:bookmarkEnd w:id="17"/>
    </w:p>
    <w:p w14:paraId="2620F884">
      <w:pPr>
        <w:spacing w:line="360" w:lineRule="auto"/>
        <w:ind w:firstLine="600" w:firstLineChars="200"/>
        <w:rPr>
          <w:rFonts w:ascii="Times New Roman" w:hAnsi="Times New Roman" w:eastAsia="仿宋_GB2312"/>
          <w:b/>
          <w:bCs/>
          <w:color w:val="000000"/>
          <w:sz w:val="30"/>
          <w:szCs w:val="30"/>
        </w:rPr>
      </w:pPr>
      <w:r>
        <w:rPr>
          <w:rFonts w:ascii="Times New Roman" w:hAnsi="Times New Roman" w:eastAsia="仿宋_GB2312"/>
          <w:bCs/>
          <w:color w:val="000000"/>
          <w:sz w:val="30"/>
          <w:szCs w:val="30"/>
        </w:rPr>
        <w:t>合同未尽事宜，合同当事人另行签订补充协议</w:t>
      </w:r>
      <w:r>
        <w:rPr>
          <w:rFonts w:hint="eastAsia" w:ascii="Times New Roman" w:hAnsi="Times New Roman" w:eastAsia="仿宋_GB2312"/>
          <w:bCs/>
          <w:color w:val="000000"/>
          <w:sz w:val="30"/>
          <w:szCs w:val="30"/>
        </w:rPr>
        <w:t>，</w:t>
      </w:r>
      <w:r>
        <w:rPr>
          <w:rFonts w:ascii="Times New Roman" w:hAnsi="Times New Roman" w:eastAsia="仿宋_GB2312"/>
          <w:bCs/>
          <w:color w:val="000000"/>
          <w:sz w:val="30"/>
          <w:szCs w:val="30"/>
        </w:rPr>
        <w:t>补充协议是合同的组成部分。</w:t>
      </w:r>
    </w:p>
    <w:p w14:paraId="1FF324B7">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8" w:name="_Toc351203492"/>
      <w:r>
        <w:rPr>
          <w:rFonts w:ascii="Times New Roman" w:hAnsi="Times New Roman" w:eastAsia="黑体"/>
          <w:b w:val="0"/>
          <w:color w:val="000000"/>
          <w:sz w:val="32"/>
          <w:szCs w:val="32"/>
        </w:rPr>
        <w:t>十二、合同生效</w:t>
      </w:r>
      <w:bookmarkEnd w:id="18"/>
    </w:p>
    <w:p w14:paraId="52F81F5E">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本合同自</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生效。</w:t>
      </w:r>
    </w:p>
    <w:p w14:paraId="2E3D4FFD">
      <w:pPr>
        <w:pStyle w:val="5"/>
        <w:spacing w:before="120" w:after="120" w:line="360" w:lineRule="auto"/>
        <w:rPr>
          <w:rFonts w:ascii="Times New Roman" w:hAnsi="Times New Roman" w:eastAsia="黑体"/>
          <w:bCs w:val="0"/>
          <w:color w:val="000000"/>
          <w:sz w:val="32"/>
          <w:szCs w:val="32"/>
        </w:rPr>
      </w:pPr>
      <w:r>
        <w:rPr>
          <w:rFonts w:ascii="Times New Roman" w:hAnsi="Times New Roman" w:eastAsia="黑体"/>
          <w:bCs w:val="0"/>
          <w:color w:val="000000"/>
          <w:sz w:val="32"/>
          <w:szCs w:val="32"/>
        </w:rPr>
        <w:t xml:space="preserve">    </w:t>
      </w:r>
      <w:bookmarkStart w:id="19" w:name="_Toc351203493"/>
      <w:r>
        <w:rPr>
          <w:rFonts w:ascii="Times New Roman" w:hAnsi="Times New Roman" w:eastAsia="黑体"/>
          <w:b w:val="0"/>
          <w:color w:val="000000"/>
          <w:sz w:val="32"/>
          <w:szCs w:val="32"/>
        </w:rPr>
        <w:t>十三、合同份数</w:t>
      </w:r>
      <w:bookmarkEnd w:id="19"/>
    </w:p>
    <w:p w14:paraId="6EC0672C">
      <w:pPr>
        <w:spacing w:line="360" w:lineRule="auto"/>
        <w:ind w:firstLine="600" w:firstLineChars="200"/>
        <w:rPr>
          <w:rFonts w:ascii="Times New Roman" w:hAnsi="Times New Roman" w:eastAsia="仿宋_GB2312"/>
          <w:bCs/>
          <w:color w:val="000000"/>
          <w:sz w:val="30"/>
          <w:szCs w:val="30"/>
        </w:rPr>
      </w:pPr>
      <w:r>
        <w:rPr>
          <w:rFonts w:ascii="Times New Roman" w:hAnsi="Times New Roman" w:eastAsia="仿宋_GB2312"/>
          <w:bCs/>
          <w:color w:val="000000"/>
          <w:sz w:val="30"/>
          <w:szCs w:val="30"/>
        </w:rPr>
        <w:t>本合同一式</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份，均具有同等法律效力，发包人执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份，承包人执</w:t>
      </w:r>
      <w:r>
        <w:rPr>
          <w:rFonts w:ascii="Times New Roman" w:hAnsi="Times New Roman" w:eastAsia="仿宋_GB2312"/>
          <w:bCs/>
          <w:color w:val="000000"/>
          <w:sz w:val="30"/>
          <w:szCs w:val="30"/>
          <w:u w:val="single"/>
        </w:rPr>
        <w:t xml:space="preserve">  </w:t>
      </w:r>
      <w:r>
        <w:rPr>
          <w:rFonts w:hint="eastAsia"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u w:val="single"/>
        </w:rPr>
        <w:t xml:space="preserve"> </w:t>
      </w:r>
      <w:r>
        <w:rPr>
          <w:rFonts w:ascii="Times New Roman" w:hAnsi="Times New Roman" w:eastAsia="仿宋_GB2312"/>
          <w:bCs/>
          <w:color w:val="000000"/>
          <w:sz w:val="30"/>
          <w:szCs w:val="30"/>
        </w:rPr>
        <w:t>份。</w:t>
      </w:r>
    </w:p>
    <w:p w14:paraId="68220D1B">
      <w:pPr>
        <w:spacing w:line="360" w:lineRule="auto"/>
        <w:rPr>
          <w:rFonts w:hint="eastAsia" w:ascii="Times New Roman" w:hAnsi="Times New Roman" w:eastAsia="仿宋_GB2312"/>
          <w:bCs/>
          <w:color w:val="000000"/>
          <w:sz w:val="30"/>
          <w:szCs w:val="30"/>
        </w:rPr>
      </w:pPr>
    </w:p>
    <w:p w14:paraId="21DA590A">
      <w:pPr>
        <w:spacing w:line="360" w:lineRule="auto"/>
        <w:rPr>
          <w:rFonts w:hint="eastAsia" w:ascii="Times New Roman" w:hAnsi="Times New Roman" w:eastAsia="仿宋_GB2312"/>
          <w:bCs/>
          <w:color w:val="000000"/>
          <w:sz w:val="30"/>
          <w:szCs w:val="30"/>
        </w:rPr>
      </w:pPr>
    </w:p>
    <w:p w14:paraId="458C8E7A">
      <w:pPr>
        <w:spacing w:line="360" w:lineRule="auto"/>
        <w:rPr>
          <w:rFonts w:hint="eastAsia" w:ascii="Times New Roman" w:hAnsi="Times New Roman" w:eastAsia="仿宋_GB2312"/>
          <w:bCs/>
          <w:color w:val="000000"/>
          <w:sz w:val="30"/>
          <w:szCs w:val="30"/>
        </w:rPr>
      </w:pPr>
    </w:p>
    <w:p w14:paraId="5819A747">
      <w:pPr>
        <w:spacing w:line="360" w:lineRule="auto"/>
        <w:rPr>
          <w:rFonts w:hint="eastAsia" w:ascii="Times New Roman" w:hAnsi="Times New Roman" w:eastAsia="仿宋_GB2312"/>
          <w:bCs/>
          <w:color w:val="000000"/>
          <w:sz w:val="30"/>
          <w:szCs w:val="30"/>
        </w:rPr>
      </w:pPr>
    </w:p>
    <w:p w14:paraId="1C3A5A3C">
      <w:pPr>
        <w:spacing w:line="360" w:lineRule="auto"/>
        <w:rPr>
          <w:rFonts w:hint="eastAsia" w:ascii="Times New Roman" w:hAnsi="Times New Roman" w:eastAsia="仿宋_GB2312"/>
          <w:bCs/>
          <w:color w:val="000000"/>
          <w:sz w:val="30"/>
          <w:szCs w:val="30"/>
        </w:rPr>
      </w:pPr>
    </w:p>
    <w:p w14:paraId="47A7D4A1">
      <w:pPr>
        <w:spacing w:line="360" w:lineRule="auto"/>
        <w:rPr>
          <w:rFonts w:hint="eastAsia" w:ascii="Times New Roman" w:hAnsi="Times New Roman" w:eastAsia="仿宋_GB2312"/>
          <w:bCs/>
          <w:color w:val="000000"/>
          <w:sz w:val="30"/>
          <w:szCs w:val="30"/>
        </w:rPr>
      </w:pPr>
    </w:p>
    <w:p w14:paraId="255A3586">
      <w:pPr>
        <w:spacing w:line="360" w:lineRule="auto"/>
        <w:rPr>
          <w:rFonts w:hint="eastAsia" w:ascii="Times New Roman" w:hAnsi="Times New Roman" w:eastAsia="仿宋_GB2312"/>
          <w:bCs/>
          <w:color w:val="000000"/>
          <w:sz w:val="30"/>
          <w:szCs w:val="30"/>
        </w:rPr>
      </w:pPr>
    </w:p>
    <w:p w14:paraId="4CEF31C2">
      <w:pPr>
        <w:spacing w:line="360" w:lineRule="auto"/>
        <w:rPr>
          <w:rFonts w:hint="eastAsia" w:ascii="Times New Roman" w:hAnsi="Times New Roman" w:eastAsia="仿宋_GB2312"/>
          <w:color w:val="000000"/>
          <w:sz w:val="30"/>
          <w:szCs w:val="30"/>
        </w:rPr>
      </w:pPr>
    </w:p>
    <w:p w14:paraId="2E8AE597">
      <w:pPr>
        <w:spacing w:line="360" w:lineRule="auto"/>
        <w:rPr>
          <w:rFonts w:hint="eastAsia" w:ascii="Times New Roman" w:hAnsi="Times New Roman" w:eastAsia="仿宋_GB2312"/>
          <w:color w:val="000000"/>
          <w:sz w:val="30"/>
          <w:szCs w:val="30"/>
        </w:rPr>
      </w:pP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(公章)</w:t>
      </w:r>
    </w:p>
    <w:p w14:paraId="5307ACA0">
      <w:pPr>
        <w:spacing w:line="360" w:lineRule="auto"/>
        <w:rPr>
          <w:rFonts w:hint="eastAsia" w:ascii="Times New Roman" w:hAnsi="Times New Roman" w:eastAsia="仿宋_GB2312"/>
          <w:color w:val="000000"/>
          <w:sz w:val="30"/>
          <w:szCs w:val="30"/>
          <w:u w:val="single"/>
        </w:rPr>
      </w:pPr>
      <w:r>
        <w:rPr>
          <w:rFonts w:hint="eastAsia" w:ascii="Times New Roman" w:hAnsi="Times New Roman" w:eastAsia="仿宋_GB2312"/>
          <w:color w:val="000000"/>
          <w:sz w:val="30"/>
          <w:szCs w:val="30"/>
        </w:rPr>
        <w:t xml:space="preserve">                                 </w:t>
      </w:r>
    </w:p>
    <w:p w14:paraId="37001340">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法定代表人或其委托代理人：  法定代表人或其委托代理人：</w:t>
      </w:r>
    </w:p>
    <w:p w14:paraId="4B4F09E9">
      <w:pPr>
        <w:spacing w:line="360" w:lineRule="auto"/>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（签字）                    （签字）</w:t>
      </w:r>
    </w:p>
    <w:p w14:paraId="567B5854">
      <w:pPr>
        <w:spacing w:line="360" w:lineRule="auto"/>
        <w:rPr>
          <w:rFonts w:hint="eastAsia" w:ascii="Times New Roman" w:hAnsi="Times New Roman" w:eastAsia="仿宋_GB2312"/>
          <w:color w:val="000000"/>
          <w:sz w:val="30"/>
          <w:szCs w:val="30"/>
          <w:u w:val="single"/>
        </w:rPr>
      </w:pPr>
    </w:p>
    <w:p w14:paraId="20B07969">
      <w:pPr>
        <w:tabs>
          <w:tab w:val="left" w:pos="4410"/>
        </w:tabs>
        <w:spacing w:line="360" w:lineRule="auto"/>
        <w:rPr>
          <w:rFonts w:ascii="Times New Roman" w:hAnsi="Times New Roman" w:eastAsia="仿宋_GB2312"/>
          <w:color w:val="000000"/>
          <w:sz w:val="30"/>
          <w:szCs w:val="30"/>
        </w:rPr>
      </w:pPr>
      <w:r>
        <w:rPr>
          <w:rFonts w:hint="eastAsia" w:ascii="Times New Roman" w:hAnsi="Times New Roman" w:eastAsia="仿宋_GB2312"/>
          <w:color w:val="000000"/>
          <w:sz w:val="30"/>
          <w:szCs w:val="30"/>
        </w:rPr>
        <w:t>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组织机构代码：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36228D1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0D666E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p>
    <w:p w14:paraId="2301C96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法定代表人：</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CF8B90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B200D9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9AA7EB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0C08457">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电子信箱：</w:t>
      </w:r>
      <w:r>
        <w:rPr>
          <w:rFonts w:ascii="Times New Roman" w:hAnsi="Times New Roman" w:eastAsia="仿宋_GB2312"/>
          <w:color w:val="000000"/>
          <w:sz w:val="30"/>
          <w:szCs w:val="30"/>
          <w:u w:val="single"/>
        </w:rPr>
        <w:t xml:space="preserve">   </w:t>
      </w:r>
    </w:p>
    <w:p w14:paraId="52402AD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p>
    <w:p w14:paraId="6C943E2F">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242909DD">
      <w:pPr>
        <w:pStyle w:val="4"/>
        <w:jc w:val="center"/>
        <w:rPr>
          <w:rFonts w:hint="eastAsia" w:ascii="华文中宋" w:hAnsi="华文中宋" w:eastAsia="华文中宋"/>
          <w:sz w:val="44"/>
          <w:szCs w:val="44"/>
        </w:rPr>
      </w:pPr>
      <w:r>
        <w:rPr>
          <w:rFonts w:eastAsia="仿宋_GB2312"/>
        </w:rPr>
        <w:br w:type="page"/>
      </w:r>
      <w:bookmarkStart w:id="20" w:name="_Toc351203494"/>
      <w:r>
        <w:rPr>
          <w:rFonts w:ascii="华文中宋" w:hAnsi="华文中宋" w:eastAsia="华文中宋"/>
          <w:sz w:val="44"/>
          <w:szCs w:val="44"/>
        </w:rPr>
        <w:t>第二部分 通用合同条款</w:t>
      </w:r>
      <w:bookmarkEnd w:id="20"/>
      <w:bookmarkStart w:id="21" w:name="_Toc337558727"/>
    </w:p>
    <w:p w14:paraId="0B56077C">
      <w:pPr>
        <w:pStyle w:val="5"/>
        <w:spacing w:before="120" w:after="120" w:line="360" w:lineRule="auto"/>
        <w:rPr>
          <w:rFonts w:ascii="Times New Roman" w:hAnsi="Times New Roman" w:eastAsia="黑体"/>
          <w:b w:val="0"/>
          <w:color w:val="000000"/>
          <w:sz w:val="32"/>
          <w:szCs w:val="32"/>
        </w:rPr>
      </w:pPr>
      <w:bookmarkStart w:id="22" w:name="_Toc351203495"/>
      <w:r>
        <w:rPr>
          <w:rFonts w:ascii="Times New Roman" w:hAnsi="Times New Roman" w:eastAsia="黑体"/>
          <w:b w:val="0"/>
          <w:color w:val="000000"/>
          <w:sz w:val="32"/>
          <w:szCs w:val="32"/>
        </w:rPr>
        <w:t>1.</w:t>
      </w:r>
      <w:bookmarkStart w:id="23" w:name="_Toc303538976"/>
      <w:bookmarkEnd w:id="23"/>
      <w:bookmarkStart w:id="24" w:name="_Toc303538974"/>
      <w:bookmarkEnd w:id="24"/>
      <w:bookmarkStart w:id="25" w:name="_Toc303538972"/>
      <w:bookmarkEnd w:id="25"/>
      <w:bookmarkStart w:id="26" w:name="_Toc303538973"/>
      <w:bookmarkEnd w:id="26"/>
      <w:bookmarkStart w:id="27" w:name="_Toc303538975"/>
      <w:bookmarkEnd w:id="27"/>
      <w:bookmarkStart w:id="28" w:name="_Toc296346528"/>
      <w:bookmarkStart w:id="29" w:name="_Toc296503027"/>
      <w:r>
        <w:rPr>
          <w:rFonts w:ascii="Times New Roman" w:hAnsi="Times New Roman" w:eastAsia="黑体"/>
          <w:b w:val="0"/>
          <w:color w:val="000000"/>
          <w:sz w:val="32"/>
          <w:szCs w:val="32"/>
        </w:rPr>
        <w:t xml:space="preserve"> 一般约定</w:t>
      </w:r>
      <w:bookmarkEnd w:id="21"/>
      <w:bookmarkEnd w:id="22"/>
      <w:bookmarkEnd w:id="28"/>
      <w:bookmarkEnd w:id="29"/>
    </w:p>
    <w:p w14:paraId="1DF1FE2E">
      <w:pPr>
        <w:pStyle w:val="6"/>
        <w:spacing w:before="120" w:after="120" w:line="360" w:lineRule="auto"/>
        <w:ind w:firstLine="600" w:firstLineChars="200"/>
        <w:rPr>
          <w:rFonts w:ascii="Times New Roman" w:hAnsi="Times New Roman" w:eastAsia="黑体"/>
          <w:b w:val="0"/>
          <w:color w:val="000000"/>
          <w:sz w:val="30"/>
          <w:szCs w:val="32"/>
        </w:rPr>
      </w:pPr>
      <w:bookmarkStart w:id="30" w:name="_Toc296503028"/>
      <w:bookmarkStart w:id="31" w:name="_Toc296346529"/>
      <w:bookmarkStart w:id="32" w:name="_Toc337558728"/>
      <w:bookmarkStart w:id="33" w:name="_Toc351203496"/>
      <w:r>
        <w:rPr>
          <w:rFonts w:ascii="Times New Roman" w:hAnsi="Times New Roman" w:eastAsia="黑体"/>
          <w:b w:val="0"/>
          <w:color w:val="000000"/>
          <w:sz w:val="30"/>
          <w:szCs w:val="32"/>
        </w:rPr>
        <w:t>1.1词语定义</w:t>
      </w:r>
      <w:bookmarkEnd w:id="30"/>
      <w:bookmarkEnd w:id="31"/>
      <w:bookmarkEnd w:id="32"/>
      <w:r>
        <w:rPr>
          <w:rFonts w:ascii="Times New Roman" w:hAnsi="Times New Roman" w:eastAsia="黑体"/>
          <w:b w:val="0"/>
          <w:color w:val="000000"/>
          <w:sz w:val="30"/>
          <w:szCs w:val="32"/>
        </w:rPr>
        <w:t>与解释</w:t>
      </w:r>
      <w:bookmarkEnd w:id="33"/>
    </w:p>
    <w:p w14:paraId="076C0F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合同协议书、通用合同条款、专用合同条款中的下列词语具有本款所赋予的含义：</w:t>
      </w:r>
    </w:p>
    <w:p w14:paraId="46876B72">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1.1.1 合同</w:t>
      </w:r>
    </w:p>
    <w:p w14:paraId="3EDE72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0"/>
        </w:rPr>
      </w:pPr>
      <w:r>
        <w:rPr>
          <w:rFonts w:ascii="Times New Roman" w:hAnsi="Times New Roman" w:eastAsia="仿宋_GB2312"/>
          <w:color w:val="000000"/>
          <w:kern w:val="0"/>
          <w:sz w:val="30"/>
          <w:szCs w:val="30"/>
        </w:rPr>
        <w:t>1.1.1.1 合同：是指根据法律规定和合同当事人约定具有约束力的文件，构成合同的文件包括合同协议书、中标通知书（如果有）、投标函及其附录（如果有）、专用合同条款</w:t>
      </w:r>
      <w:r>
        <w:rPr>
          <w:rFonts w:ascii="Times New Roman" w:hAnsi="Times New Roman" w:eastAsia="仿宋_GB2312"/>
          <w:color w:val="000000"/>
          <w:sz w:val="30"/>
          <w:szCs w:val="30"/>
        </w:rPr>
        <w:t>及其附件</w:t>
      </w:r>
      <w:r>
        <w:rPr>
          <w:rFonts w:ascii="Times New Roman" w:hAnsi="Times New Roman" w:eastAsia="仿宋_GB2312"/>
          <w:color w:val="000000"/>
          <w:kern w:val="0"/>
          <w:sz w:val="30"/>
          <w:szCs w:val="30"/>
        </w:rPr>
        <w:t>、通用合同条款、技术标准和要求、图纸、已标价工程量清单或预算书以及其他合同文件。</w:t>
      </w:r>
    </w:p>
    <w:p w14:paraId="6EAC3A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合同协议书：是指构成合同的由发包人和承包人共同签署的称为“合同协议书”的书面文件</w:t>
      </w:r>
      <w:r>
        <w:rPr>
          <w:rFonts w:hint="eastAsia" w:ascii="Times New Roman" w:hAnsi="Times New Roman" w:eastAsia="仿宋_GB2312"/>
          <w:color w:val="000000"/>
          <w:kern w:val="0"/>
          <w:sz w:val="30"/>
          <w:szCs w:val="32"/>
        </w:rPr>
        <w:t>。</w:t>
      </w:r>
    </w:p>
    <w:p w14:paraId="74B22C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中标通知书：是指构成合同的</w:t>
      </w:r>
      <w:r>
        <w:rPr>
          <w:rFonts w:hint="eastAsia" w:ascii="Times New Roman" w:hAnsi="Times New Roman" w:eastAsia="仿宋_GB2312"/>
          <w:color w:val="000000"/>
          <w:kern w:val="0"/>
          <w:sz w:val="30"/>
          <w:szCs w:val="32"/>
        </w:rPr>
        <w:t>由</w:t>
      </w:r>
      <w:r>
        <w:rPr>
          <w:rFonts w:ascii="Times New Roman" w:hAnsi="Times New Roman" w:eastAsia="仿宋_GB2312"/>
          <w:color w:val="000000"/>
          <w:kern w:val="0"/>
          <w:sz w:val="30"/>
          <w:szCs w:val="32"/>
        </w:rPr>
        <w:t>发包人通知承包人中标的书面文件。</w:t>
      </w:r>
    </w:p>
    <w:p w14:paraId="1223DC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1.1.1.4 投标函：是指构成合同的由承包人填写并签署的用于投标的称为“投标函”的文件。</w:t>
      </w:r>
    </w:p>
    <w:p w14:paraId="40A41C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1.1.1.5 投标函附录：是指构成合同的附在投标函后的称为“投标函附录”的文件。</w:t>
      </w:r>
    </w:p>
    <w:p w14:paraId="24C994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1.1.1.6 技术标准和要求：是指构成合同的施工应当遵守的或指导施工的国家、行业或地方的技术标准和要求，以及合同约定的技术标准和要求。</w:t>
      </w:r>
    </w:p>
    <w:p w14:paraId="130A9110">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1.1.1.7 图纸：是指构成合同的图纸，包括由发包人按照合同约定提供或经发包人批准的设计文件、</w:t>
      </w:r>
      <w:r>
        <w:rPr>
          <w:rFonts w:hint="eastAsia" w:ascii="Times New Roman" w:hAnsi="Times New Roman" w:eastAsia="仿宋_GB2312"/>
          <w:color w:val="000000"/>
          <w:kern w:val="0"/>
          <w:sz w:val="30"/>
          <w:szCs w:val="32"/>
        </w:rPr>
        <w:t>施工图、</w:t>
      </w:r>
      <w:r>
        <w:rPr>
          <w:rFonts w:ascii="Times New Roman" w:hAnsi="Times New Roman" w:eastAsia="仿宋_GB2312"/>
          <w:color w:val="000000"/>
          <w:kern w:val="0"/>
          <w:sz w:val="30"/>
          <w:szCs w:val="32"/>
        </w:rPr>
        <w:t>鸟瞰图及模型等，</w:t>
      </w:r>
      <w:r>
        <w:rPr>
          <w:rFonts w:hint="eastAsia" w:ascii="Times New Roman" w:hAnsi="Times New Roman" w:eastAsia="仿宋_GB2312"/>
          <w:color w:val="000000"/>
          <w:kern w:val="0"/>
          <w:sz w:val="30"/>
          <w:szCs w:val="32"/>
        </w:rPr>
        <w:t>以及在合同履行过程中形成的图纸文件。图纸</w:t>
      </w:r>
      <w:r>
        <w:rPr>
          <w:rFonts w:ascii="Times New Roman" w:hAnsi="Times New Roman" w:eastAsia="仿宋_GB2312"/>
          <w:color w:val="000000"/>
          <w:kern w:val="0"/>
          <w:sz w:val="30"/>
          <w:szCs w:val="32"/>
        </w:rPr>
        <w:t>应当按照法律规定审查合格。</w:t>
      </w:r>
    </w:p>
    <w:p w14:paraId="79E48CEB">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1.1.1.8 已标价工程量清单：是指构成合同的由承包人按照规定的格式和要求填写并标明价格的工程量清单，包括说明和表格。</w:t>
      </w:r>
    </w:p>
    <w:p w14:paraId="1C06FB2F">
      <w:pPr>
        <w:autoSpaceDE w:val="0"/>
        <w:autoSpaceDN w:val="0"/>
        <w:adjustRightInd w:val="0"/>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1.1.1.9 预算书：是指构成合同的由承包人按照发包人规定的格式和要求编制的工程预算文件。</w:t>
      </w:r>
    </w:p>
    <w:p w14:paraId="071A90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 其他合同文件：是指经合同当事人约定的与工程施工有关的具有合同约束力的文件或书面协议。合同当事人可以在专用合同条款中进行约定。</w:t>
      </w:r>
    </w:p>
    <w:p w14:paraId="78C2E7E6">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1.1.2 合同当事人及其他相关方</w:t>
      </w:r>
    </w:p>
    <w:p w14:paraId="0D9F8C7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1.1.2.1 合同当事人：是指发包人和（或）承包人。</w:t>
      </w:r>
    </w:p>
    <w:p w14:paraId="428C68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1.1.2.2 发包人：是指与承包人签订合同协议书的当事人及取得该当事人资格的合法继承人。</w:t>
      </w:r>
    </w:p>
    <w:p w14:paraId="4E2CA1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1.1.2.3 承包人：是指与发包人签订合同协议书的，具有相应工程施工承包资质的当事人及取得该当事人资格的合法继承人。</w:t>
      </w:r>
    </w:p>
    <w:p w14:paraId="24DB0E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1.1.2.4 监理人：是指在专用合同条款中指明的，受发包人委托按照法律规定进行工程监督管理的法人或其他组织。</w:t>
      </w:r>
    </w:p>
    <w:p w14:paraId="66B8224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1.1.2.5 设计人：是指在专用合同条款中指明的，受发包人委托负责工程设计并具备相应工程设计资质的法人或其他组织。</w:t>
      </w:r>
    </w:p>
    <w:p w14:paraId="56CBF992">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1.1.2.6 分包人：</w:t>
      </w:r>
      <w:bookmarkStart w:id="34" w:name="#go5"/>
      <w:bookmarkEnd w:id="34"/>
      <w:r>
        <w:rPr>
          <w:rFonts w:ascii="Times New Roman" w:hAnsi="Times New Roman" w:eastAsia="仿宋_GB2312"/>
          <w:color w:val="000000"/>
          <w:kern w:val="0"/>
          <w:sz w:val="30"/>
          <w:szCs w:val="32"/>
        </w:rPr>
        <w:t>是指</w:t>
      </w:r>
      <w:r>
        <w:rPr>
          <w:rFonts w:hint="eastAsia" w:ascii="Times New Roman" w:hAnsi="Times New Roman" w:eastAsia="仿宋_GB2312"/>
          <w:color w:val="000000"/>
          <w:kern w:val="0"/>
          <w:sz w:val="30"/>
          <w:szCs w:val="32"/>
        </w:rPr>
        <w:t>按照法律规定和</w:t>
      </w:r>
      <w:r>
        <w:rPr>
          <w:rFonts w:ascii="Times New Roman" w:hAnsi="Times New Roman" w:eastAsia="仿宋_GB2312"/>
          <w:color w:val="000000"/>
          <w:kern w:val="0"/>
          <w:sz w:val="30"/>
          <w:szCs w:val="32"/>
        </w:rPr>
        <w:t>合同约定，分包</w:t>
      </w:r>
      <w:r>
        <w:rPr>
          <w:rFonts w:hint="eastAsia" w:ascii="Times New Roman" w:hAnsi="Times New Roman" w:eastAsia="仿宋_GB2312"/>
          <w:color w:val="000000"/>
          <w:kern w:val="0"/>
          <w:sz w:val="30"/>
          <w:szCs w:val="32"/>
        </w:rPr>
        <w:t>部分</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或工作</w:t>
      </w:r>
      <w:r>
        <w:rPr>
          <w:rFonts w:ascii="Times New Roman" w:hAnsi="Times New Roman" w:eastAsia="仿宋_GB2312"/>
          <w:color w:val="000000"/>
          <w:kern w:val="0"/>
          <w:sz w:val="30"/>
          <w:szCs w:val="32"/>
        </w:rPr>
        <w:t>，并与</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签订分包合同的具有相应资质的法人。</w:t>
      </w:r>
    </w:p>
    <w:p w14:paraId="389376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1.1.2.7 发包人代表：是指由发包人任命并派驻施工现场在发包人授权范围内行使发包人权利的人。</w:t>
      </w:r>
    </w:p>
    <w:p w14:paraId="50370B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1.1.2.8 项目经理：是指由承包人任命并派驻施工现场，在承包人授权范围内负责合同履行，且按照法律规定具有相应资格的</w:t>
      </w:r>
      <w:r>
        <w:rPr>
          <w:rFonts w:hint="eastAsia" w:ascii="Times New Roman" w:hAnsi="Times New Roman" w:eastAsia="仿宋_GB2312"/>
          <w:color w:val="000000"/>
          <w:kern w:val="0"/>
          <w:sz w:val="30"/>
          <w:szCs w:val="32"/>
        </w:rPr>
        <w:t>项目负责</w:t>
      </w:r>
      <w:r>
        <w:rPr>
          <w:rFonts w:ascii="Times New Roman" w:hAnsi="Times New Roman" w:eastAsia="仿宋_GB2312"/>
          <w:color w:val="000000"/>
          <w:kern w:val="0"/>
          <w:sz w:val="30"/>
          <w:szCs w:val="32"/>
        </w:rPr>
        <w:t>人。</w:t>
      </w:r>
    </w:p>
    <w:p w14:paraId="0EADA0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1.1.2.9 总监理工程师：是指由监理人任命并派驻施工现场进行工程监理的总负责人。</w:t>
      </w:r>
    </w:p>
    <w:p w14:paraId="54CD462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 工程和设备</w:t>
      </w:r>
    </w:p>
    <w:p w14:paraId="51F45FA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 工程：是指与合同协议书中工程承包范围对应的永久工程和（或）临时工程。</w:t>
      </w:r>
    </w:p>
    <w:p w14:paraId="2F4D9A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1.1.3.2 永久工程：是指按合同约定建造并移交给发包人的工程，包括工程设备。</w:t>
      </w:r>
    </w:p>
    <w:p w14:paraId="4AF6047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1.1.3.3 临时工程：是指为完成合同约定的永久工程所修建的各类临时性工程，不包括施工设备。</w:t>
      </w:r>
    </w:p>
    <w:p w14:paraId="5AE1E09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1.1.3.4 单位工程：是指在</w:t>
      </w:r>
      <w:r>
        <w:rPr>
          <w:rFonts w:hint="eastAsia" w:ascii="Times New Roman" w:hAnsi="Times New Roman" w:eastAsia="仿宋_GB2312"/>
          <w:color w:val="000000"/>
          <w:kern w:val="0"/>
          <w:sz w:val="30"/>
          <w:szCs w:val="32"/>
        </w:rPr>
        <w:t>合同协议书</w:t>
      </w:r>
      <w:r>
        <w:rPr>
          <w:rFonts w:ascii="Times New Roman" w:hAnsi="Times New Roman" w:eastAsia="仿宋_GB2312"/>
          <w:color w:val="000000"/>
          <w:kern w:val="0"/>
          <w:sz w:val="30"/>
          <w:szCs w:val="32"/>
        </w:rPr>
        <w:t>中指明的，具备独立施工条件并能形成独立使用功能的永久工程。</w:t>
      </w:r>
    </w:p>
    <w:p w14:paraId="571969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1.1.3.5 工程设备：是指构成永久工程的机电设备、金属结构设备、仪器及其他类似的设备和装置。</w:t>
      </w:r>
    </w:p>
    <w:p w14:paraId="36B5923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1.1.3.6 施工设备：是指为完成合同约定的各项工作所需的设备、器具和其他物品，但不包括工程设备、临时工程和材料。</w:t>
      </w:r>
    </w:p>
    <w:p w14:paraId="20A518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1.1.3.7 施工现场：是指用于工程施工的场所，以及在专用合同条款中</w:t>
      </w:r>
      <w:r>
        <w:rPr>
          <w:rFonts w:hint="eastAsia" w:ascii="Times New Roman" w:hAnsi="Times New Roman" w:eastAsia="仿宋_GB2312"/>
          <w:color w:val="000000"/>
          <w:kern w:val="0"/>
          <w:sz w:val="30"/>
          <w:szCs w:val="32"/>
        </w:rPr>
        <w:t>指</w:t>
      </w:r>
      <w:r>
        <w:rPr>
          <w:rFonts w:ascii="Times New Roman" w:hAnsi="Times New Roman" w:eastAsia="仿宋_GB2312"/>
          <w:color w:val="000000"/>
          <w:kern w:val="0"/>
          <w:sz w:val="30"/>
          <w:szCs w:val="32"/>
        </w:rPr>
        <w:t>明作为施工场所组成部分的其他场所，包括永久占地和临时占地。</w:t>
      </w:r>
    </w:p>
    <w:p w14:paraId="679281A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1.1.3.8临时设施：是指为完成合同约定的各项工作所服务的临时性生产和生活设施。</w:t>
      </w:r>
    </w:p>
    <w:p w14:paraId="760C056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永久占地：是指专用合同条款中指明为实施工程需永久占用的土地。</w:t>
      </w:r>
    </w:p>
    <w:p w14:paraId="3DD0B2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1.1.3.10 临时占地：是指专用合同条款中指明为实施工程需要临时占用的土地。</w:t>
      </w:r>
    </w:p>
    <w:p w14:paraId="20A35A8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 日期和期限</w:t>
      </w:r>
    </w:p>
    <w:p w14:paraId="416B30F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1.1.4.1 开工日期：包括计划开工日期和实际开工日期。计划开工日期是指合同协议书约定的开工日期；实际开工日期是指监理人按照第7.3.2项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约定发出的符合法律规定的开工通知中载明的开工日期。</w:t>
      </w:r>
    </w:p>
    <w:p w14:paraId="027A28E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1.1.4.2 竣工日期：包括计划竣工日期和实际竣工日期。计划竣工日期是指合同协议书约定的竣工日期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实际竣工日期按照第13.2.3项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竣工日期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的约定确定。 </w:t>
      </w:r>
    </w:p>
    <w:p w14:paraId="048A7D32">
      <w:pPr>
        <w:spacing w:line="360" w:lineRule="auto"/>
        <w:ind w:firstLine="608" w:firstLineChars="203"/>
        <w:rPr>
          <w:rFonts w:ascii="Times New Roman" w:hAnsi="Times New Roman" w:eastAsia="仿宋_GB2312"/>
          <w:color w:val="000000"/>
          <w:sz w:val="30"/>
          <w:szCs w:val="32"/>
        </w:rPr>
      </w:pPr>
      <w:r>
        <w:rPr>
          <w:rFonts w:ascii="Times New Roman" w:hAnsi="Times New Roman" w:eastAsia="仿宋_GB2312"/>
          <w:color w:val="000000"/>
          <w:kern w:val="0"/>
          <w:sz w:val="30"/>
          <w:szCs w:val="32"/>
        </w:rPr>
        <w:t>1.1.4.3 工期：是指在合同协议书约定的承包人完成工程所需的期限，包括按照合同约定所作的</w:t>
      </w:r>
      <w:r>
        <w:rPr>
          <w:rFonts w:hint="eastAsia" w:ascii="Times New Roman" w:hAnsi="Times New Roman" w:eastAsia="仿宋_GB2312"/>
          <w:color w:val="000000"/>
          <w:kern w:val="0"/>
          <w:sz w:val="30"/>
          <w:szCs w:val="32"/>
        </w:rPr>
        <w:t>期限</w:t>
      </w:r>
      <w:r>
        <w:rPr>
          <w:rFonts w:ascii="Times New Roman" w:hAnsi="Times New Roman" w:eastAsia="仿宋_GB2312"/>
          <w:color w:val="000000"/>
          <w:kern w:val="0"/>
          <w:sz w:val="30"/>
          <w:szCs w:val="32"/>
        </w:rPr>
        <w:t>变更。</w:t>
      </w:r>
    </w:p>
    <w:p w14:paraId="32D298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1.1.4.4 缺陷责任期：是指承包人按照合同约定承担缺陷修复义务，且发包人</w:t>
      </w:r>
      <w:r>
        <w:rPr>
          <w:rFonts w:hint="eastAsia" w:ascii="Times New Roman" w:hAnsi="Times New Roman" w:eastAsia="仿宋_GB2312"/>
          <w:color w:val="000000"/>
          <w:kern w:val="0"/>
          <w:sz w:val="30"/>
          <w:szCs w:val="32"/>
        </w:rPr>
        <w:t>预</w:t>
      </w:r>
      <w:r>
        <w:rPr>
          <w:rFonts w:ascii="Times New Roman" w:hAnsi="Times New Roman" w:eastAsia="仿宋_GB2312"/>
          <w:color w:val="000000"/>
          <w:kern w:val="0"/>
          <w:sz w:val="30"/>
          <w:szCs w:val="32"/>
        </w:rPr>
        <w:t>留质量保证金</w:t>
      </w:r>
      <w:r>
        <w:rPr>
          <w:rFonts w:hint="eastAsia" w:ascii="Times New Roman" w:hAnsi="Times New Roman" w:eastAsia="仿宋_GB2312"/>
          <w:color w:val="000000"/>
          <w:kern w:val="0"/>
          <w:sz w:val="30"/>
          <w:szCs w:val="32"/>
          <w:lang w:eastAsia="zh-CN"/>
        </w:rPr>
        <w:t>（</w:t>
      </w:r>
      <w:r>
        <w:rPr>
          <w:rFonts w:hint="eastAsia" w:ascii="Times New Roman" w:hAnsi="Times New Roman" w:eastAsia="仿宋_GB2312"/>
          <w:color w:val="000000"/>
          <w:kern w:val="0"/>
          <w:sz w:val="30"/>
          <w:szCs w:val="32"/>
        </w:rPr>
        <w:t>已</w:t>
      </w:r>
      <w:r>
        <w:rPr>
          <w:rFonts w:ascii="Times New Roman" w:hAnsi="Times New Roman" w:eastAsia="仿宋_GB2312"/>
          <w:color w:val="000000"/>
          <w:kern w:val="0"/>
          <w:sz w:val="30"/>
          <w:szCs w:val="32"/>
        </w:rPr>
        <w:t>缴纳履约保证金的除外</w:t>
      </w:r>
      <w:r>
        <w:rPr>
          <w:rFonts w:hint="eastAsia" w:ascii="Times New Roman" w:hAnsi="Times New Roman" w:eastAsia="仿宋_GB2312"/>
          <w:color w:val="000000"/>
          <w:kern w:val="0"/>
          <w:sz w:val="30"/>
          <w:szCs w:val="32"/>
          <w:lang w:eastAsia="zh-CN"/>
        </w:rPr>
        <w:t>）</w:t>
      </w:r>
      <w:r>
        <w:rPr>
          <w:rFonts w:ascii="Times New Roman" w:hAnsi="Times New Roman" w:eastAsia="仿宋_GB2312"/>
          <w:color w:val="000000"/>
          <w:kern w:val="0"/>
          <w:sz w:val="30"/>
          <w:szCs w:val="32"/>
        </w:rPr>
        <w:t>的期限，</w:t>
      </w:r>
      <w:r>
        <w:rPr>
          <w:rFonts w:hint="eastAsia" w:ascii="Times New Roman" w:hAnsi="Times New Roman" w:eastAsia="仿宋_GB2312"/>
          <w:color w:val="000000"/>
          <w:kern w:val="0"/>
          <w:sz w:val="30"/>
          <w:szCs w:val="32"/>
        </w:rPr>
        <w:t>自</w:t>
      </w:r>
      <w:r>
        <w:rPr>
          <w:rFonts w:ascii="Times New Roman" w:hAnsi="Times New Roman" w:eastAsia="仿宋_GB2312"/>
          <w:color w:val="000000"/>
          <w:kern w:val="0"/>
          <w:sz w:val="30"/>
          <w:szCs w:val="32"/>
        </w:rPr>
        <w:t>工程</w:t>
      </w:r>
      <w:r>
        <w:rPr>
          <w:rFonts w:hint="eastAsia" w:ascii="Times New Roman" w:hAnsi="Times New Roman" w:eastAsia="仿宋_GB2312"/>
          <w:color w:val="000000"/>
          <w:kern w:val="0"/>
          <w:sz w:val="30"/>
          <w:szCs w:val="32"/>
        </w:rPr>
        <w:t>实际竣工日期</w:t>
      </w:r>
      <w:r>
        <w:rPr>
          <w:rFonts w:ascii="Times New Roman" w:hAnsi="Times New Roman" w:eastAsia="仿宋_GB2312"/>
          <w:color w:val="000000"/>
          <w:kern w:val="0"/>
          <w:sz w:val="30"/>
          <w:szCs w:val="32"/>
        </w:rPr>
        <w:t>起计算。</w:t>
      </w:r>
    </w:p>
    <w:p w14:paraId="620B410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1.1.4.5 保修期：是指承包人按照合同约定对工程承担保修责任的期限，从工程竣工验收合格之日起计算。</w:t>
      </w:r>
    </w:p>
    <w:p w14:paraId="10CF255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1.1.4.6 基准日期：招标发包的工程以投标截止日前28天的日期为基准日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，直接发包的工程以合同签订日前28天的日期为基准日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w:t>
      </w:r>
    </w:p>
    <w:p w14:paraId="3B12A1F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1.1.4.7 天：除特别指明外，均指日历天。合同中按天计算时间的，开始当天不计入，从次日开始计算，期限最后一天的截止时间为当天24:00时。</w:t>
      </w:r>
    </w:p>
    <w:p w14:paraId="7CC36D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 合同价格和费用</w:t>
      </w:r>
    </w:p>
    <w:p w14:paraId="2F8C12A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1.1.5.1 签约合同价：是指</w:t>
      </w:r>
      <w:r>
        <w:rPr>
          <w:rFonts w:ascii="Times New Roman" w:hAnsi="Times New Roman" w:eastAsia="仿宋_GB2312"/>
          <w:color w:val="000000"/>
          <w:sz w:val="30"/>
          <w:szCs w:val="32"/>
        </w:rPr>
        <w:t>发包人和承包人在合同协议书中确定的总金额，包括安全文明施工费、暂估价及暂列金额等。</w:t>
      </w:r>
    </w:p>
    <w:p w14:paraId="1C53E32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1.1.5.2 合同价格：是指发包人用于支付承包人按照合同约定完成承包范围内全部工作的金额，包括合同履行过程中按合同约定</w:t>
      </w:r>
      <w:r>
        <w:rPr>
          <w:rFonts w:hint="eastAsia" w:ascii="Times New Roman" w:hAnsi="Times New Roman" w:eastAsia="仿宋_GB2312"/>
          <w:color w:val="000000"/>
          <w:kern w:val="0"/>
          <w:sz w:val="30"/>
          <w:szCs w:val="32"/>
        </w:rPr>
        <w:t>发生的价格变化。</w:t>
      </w:r>
    </w:p>
    <w:p w14:paraId="57F1A9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1.1.5.3 费用：是指为履行合同所发生的或将要发生的所有必需的开支，包括管理费和应分摊的其他费用，但不包括利润。</w:t>
      </w:r>
    </w:p>
    <w:p w14:paraId="106F92D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1.1.5.4 暂估价：是指发包人在工程量清单或预算书中提供的用于支付必然发生但暂时不能确定价格的材料、工程设备的单价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专业工程以及</w:t>
      </w:r>
      <w:r>
        <w:rPr>
          <w:rFonts w:hint="eastAsia" w:ascii="Times New Roman" w:hAnsi="Times New Roman" w:eastAsia="仿宋_GB2312"/>
          <w:color w:val="000000"/>
          <w:kern w:val="0"/>
          <w:sz w:val="30"/>
          <w:szCs w:val="32"/>
        </w:rPr>
        <w:t>服务工作</w:t>
      </w:r>
      <w:r>
        <w:rPr>
          <w:rFonts w:ascii="Times New Roman" w:hAnsi="Times New Roman" w:eastAsia="仿宋_GB2312"/>
          <w:color w:val="000000"/>
          <w:kern w:val="0"/>
          <w:sz w:val="30"/>
          <w:szCs w:val="32"/>
        </w:rPr>
        <w:t>的金额。</w:t>
      </w:r>
    </w:p>
    <w:p w14:paraId="7619D69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1.1.5.5 暂列金额：是指发包人在工程量清单或预算书中暂定并包括在合同价格中的一笔款项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用于工程合同签订时尚未确定或者不可预见的所需材料、工程设备、服务的采购，施工中可能发生的工程变更、合同约定调整因素出现时的合同价格调整以及发生的索赔、现场签证确认等的费用。</w:t>
      </w:r>
    </w:p>
    <w:p w14:paraId="3D0E700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1.1.5.6 计日工：是指合同履行过程中，承包人完成发包人提出的零星工作或需要采用计日工计价的变更工作时，按合同中约定的单价计价的一种方式。</w:t>
      </w:r>
    </w:p>
    <w:p w14:paraId="03AAD86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1.1.5.7 质量保证金</w:t>
      </w:r>
      <w:bookmarkStart w:id="35" w:name="#go2"/>
      <w:bookmarkEnd w:id="35"/>
      <w:r>
        <w:rPr>
          <w:rFonts w:ascii="Times New Roman" w:hAnsi="Times New Roman" w:eastAsia="仿宋_GB2312"/>
          <w:color w:val="000000"/>
          <w:kern w:val="0"/>
          <w:sz w:val="30"/>
          <w:szCs w:val="32"/>
        </w:rPr>
        <w:t>：是指按照第15.3款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约定承包人用于保证其在缺陷责任期内履行缺陷修补义务的担保</w:t>
      </w:r>
      <w:r>
        <w:rPr>
          <w:rFonts w:ascii="Times New Roman" w:hAnsi="Times New Roman" w:eastAsia="仿宋_GB2312"/>
          <w:color w:val="000000"/>
          <w:sz w:val="30"/>
          <w:szCs w:val="32"/>
        </w:rPr>
        <w:t>。</w:t>
      </w:r>
    </w:p>
    <w:p w14:paraId="31ED108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1.1.5.8 总价项目：是指在现行国家、行业以及地方的计量规则中无工程量计算规则，在已标价工程量清单或预算书中以总价或以费率形式计算的项目。</w:t>
      </w:r>
    </w:p>
    <w:p w14:paraId="0DCB2A7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 其他</w:t>
      </w:r>
    </w:p>
    <w:p w14:paraId="3B98447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1.1.6.1 书面形式：是指合同文件、信函、电报、传真等可以有形地表现所载内容的形式。</w:t>
      </w:r>
    </w:p>
    <w:p w14:paraId="35800AF9">
      <w:pPr>
        <w:pStyle w:val="6"/>
        <w:spacing w:before="120" w:after="120" w:line="360" w:lineRule="auto"/>
        <w:rPr>
          <w:rFonts w:ascii="Times New Roman" w:hAnsi="Times New Roman" w:eastAsia="黑体"/>
          <w:b w:val="0"/>
          <w:color w:val="000000"/>
          <w:sz w:val="30"/>
          <w:szCs w:val="32"/>
        </w:rPr>
      </w:pPr>
      <w:r>
        <w:rPr>
          <w:rFonts w:ascii="Times New Roman" w:hAnsi="Times New Roman" w:eastAsia="黑体"/>
          <w:b w:val="0"/>
          <w:color w:val="000000"/>
          <w:sz w:val="30"/>
          <w:szCs w:val="32"/>
        </w:rPr>
        <w:t xml:space="preserve">    </w:t>
      </w:r>
      <w:bookmarkStart w:id="36" w:name="_Toc296503029"/>
      <w:bookmarkStart w:id="37" w:name="_Toc337558729"/>
      <w:bookmarkStart w:id="38" w:name="_Toc351203497"/>
      <w:bookmarkStart w:id="39" w:name="_Toc296346530"/>
      <w:r>
        <w:rPr>
          <w:rFonts w:ascii="Times New Roman" w:hAnsi="Times New Roman" w:eastAsia="黑体"/>
          <w:b w:val="0"/>
          <w:color w:val="000000"/>
          <w:sz w:val="30"/>
          <w:szCs w:val="32"/>
        </w:rPr>
        <w:t>1.2语言文字</w:t>
      </w:r>
      <w:bookmarkEnd w:id="36"/>
      <w:bookmarkEnd w:id="37"/>
      <w:bookmarkEnd w:id="38"/>
      <w:bookmarkEnd w:id="39"/>
    </w:p>
    <w:p w14:paraId="2F8164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合同以中国的汉语简体文字编写、解释和说明。合同当事人在专用合同条款中约定使用两种以上语言时，汉语为优先解释和说明合同的语言。</w:t>
      </w:r>
    </w:p>
    <w:p w14:paraId="403BD436">
      <w:pPr>
        <w:pStyle w:val="6"/>
        <w:spacing w:before="120" w:after="120" w:line="360" w:lineRule="auto"/>
        <w:ind w:firstLine="600" w:firstLineChars="200"/>
        <w:rPr>
          <w:rFonts w:ascii="Times New Roman" w:hAnsi="Times New Roman" w:eastAsia="黑体"/>
          <w:b w:val="0"/>
          <w:color w:val="000000"/>
          <w:sz w:val="30"/>
          <w:szCs w:val="32"/>
        </w:rPr>
      </w:pPr>
      <w:bookmarkStart w:id="40" w:name="_Toc351203498"/>
      <w:bookmarkStart w:id="41" w:name="_Toc296346531"/>
      <w:bookmarkStart w:id="42" w:name="_Toc296503030"/>
      <w:bookmarkStart w:id="43" w:name="_Toc337558730"/>
      <w:r>
        <w:rPr>
          <w:rFonts w:ascii="Times New Roman" w:hAnsi="Times New Roman" w:eastAsia="黑体"/>
          <w:b w:val="0"/>
          <w:color w:val="000000"/>
          <w:sz w:val="30"/>
          <w:szCs w:val="32"/>
        </w:rPr>
        <w:t>1.3法律</w:t>
      </w:r>
      <w:bookmarkEnd w:id="40"/>
      <w:bookmarkEnd w:id="41"/>
      <w:bookmarkEnd w:id="42"/>
      <w:bookmarkEnd w:id="43"/>
    </w:p>
    <w:p w14:paraId="0E3012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合同所称法律是指中华人民共和国法律、行政法规、部门规章，以及工程所在地的地方性法规、自治条例、单行条例和地方政府规章等。</w:t>
      </w:r>
    </w:p>
    <w:p w14:paraId="6F3CB9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合同当事人可以在专用合同条款中约定合同适用的其他规范性文件。</w:t>
      </w:r>
    </w:p>
    <w:p w14:paraId="2DBB13D1">
      <w:pPr>
        <w:pStyle w:val="6"/>
        <w:spacing w:before="120" w:after="120" w:line="360" w:lineRule="auto"/>
        <w:ind w:firstLine="600" w:firstLineChars="200"/>
        <w:rPr>
          <w:rFonts w:ascii="Times New Roman" w:hAnsi="Times New Roman" w:eastAsia="黑体"/>
          <w:b w:val="0"/>
          <w:color w:val="000000"/>
          <w:sz w:val="30"/>
          <w:szCs w:val="32"/>
        </w:rPr>
      </w:pPr>
      <w:bookmarkStart w:id="44" w:name="_Toc351203499"/>
      <w:r>
        <w:rPr>
          <w:rFonts w:ascii="Times New Roman" w:hAnsi="Times New Roman" w:eastAsia="黑体"/>
          <w:b w:val="0"/>
          <w:color w:val="000000"/>
          <w:sz w:val="30"/>
          <w:szCs w:val="32"/>
        </w:rPr>
        <w:t>1.4 标准和规范</w:t>
      </w:r>
      <w:bookmarkEnd w:id="44"/>
    </w:p>
    <w:p w14:paraId="19890E6E">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1.4.1 适用于工程的国家标准、行业标准、工程所在地的地方性标准，以及相应的规范、规程等，合同当事人有特别要求的，应在专用合同条款中约定。</w:t>
      </w:r>
    </w:p>
    <w:p w14:paraId="26F7EA4C">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1.4.2 发包人要求使用国外标准、规范的，发包人负责提供原文版本和中文译本，并在专用合同条款中约定提供标准规范的名称、份数和时间。</w:t>
      </w:r>
    </w:p>
    <w:p w14:paraId="5EB312AD">
      <w:pPr>
        <w:autoSpaceDE w:val="0"/>
        <w:autoSpaceDN w:val="0"/>
        <w:adjustRightInd w:val="0"/>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1.4.3 发包人对工程的技术标准、功能要求高于或严于现行国家、行业或地方标准的，应当在专用合同条款中予以明确。除专用合同条款另有约定外，应视为</w:t>
      </w:r>
      <w:r>
        <w:rPr>
          <w:rFonts w:hint="eastAsia" w:ascii="Times New Roman" w:hAnsi="Times New Roman" w:eastAsia="仿宋_GB2312"/>
          <w:color w:val="000000"/>
          <w:kern w:val="0"/>
          <w:sz w:val="30"/>
          <w:szCs w:val="32"/>
        </w:rPr>
        <w:t>承包人</w:t>
      </w:r>
      <w:r>
        <w:rPr>
          <w:rFonts w:ascii="Times New Roman" w:hAnsi="Times New Roman" w:eastAsia="仿宋_GB2312"/>
          <w:color w:val="000000"/>
          <w:kern w:val="0"/>
          <w:sz w:val="30"/>
          <w:szCs w:val="32"/>
        </w:rPr>
        <w:t>在签订合同前已充分预见前述技术标准和功能要求的复杂程度，签约合同价中已包含由此产生的费用。</w:t>
      </w:r>
    </w:p>
    <w:p w14:paraId="071602AB">
      <w:pPr>
        <w:pStyle w:val="6"/>
        <w:spacing w:before="120" w:after="120" w:line="360" w:lineRule="auto"/>
        <w:ind w:firstLine="600" w:firstLineChars="200"/>
        <w:rPr>
          <w:rFonts w:ascii="Times New Roman" w:hAnsi="Times New Roman" w:eastAsia="黑体"/>
          <w:b w:val="0"/>
          <w:color w:val="000000"/>
          <w:sz w:val="30"/>
          <w:szCs w:val="32"/>
        </w:rPr>
      </w:pPr>
      <w:bookmarkStart w:id="45" w:name="_Toc351203500"/>
      <w:r>
        <w:rPr>
          <w:rFonts w:ascii="Times New Roman" w:hAnsi="Times New Roman" w:eastAsia="黑体"/>
          <w:b w:val="0"/>
          <w:color w:val="000000"/>
          <w:sz w:val="30"/>
          <w:szCs w:val="32"/>
        </w:rPr>
        <w:t>1</w:t>
      </w:r>
      <w:bookmarkStart w:id="46" w:name="_Toc337558731"/>
      <w:bookmarkStart w:id="47" w:name="_Toc296503031"/>
      <w:bookmarkStart w:id="48" w:name="_Toc296346532"/>
      <w:r>
        <w:rPr>
          <w:rFonts w:ascii="Times New Roman" w:hAnsi="Times New Roman" w:eastAsia="黑体"/>
          <w:b w:val="0"/>
          <w:color w:val="000000"/>
          <w:sz w:val="30"/>
          <w:szCs w:val="32"/>
        </w:rPr>
        <w:t>.5 合同文件的优先顺序</w:t>
      </w:r>
      <w:bookmarkEnd w:id="45"/>
    </w:p>
    <w:bookmarkEnd w:id="46"/>
    <w:bookmarkEnd w:id="47"/>
    <w:bookmarkEnd w:id="48"/>
    <w:p w14:paraId="04F43B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组成合同的各项文件应互相解释，互为说明。除专用合同条款另有约定外，解释合同文件的优先顺序如下：</w:t>
      </w:r>
    </w:p>
    <w:p w14:paraId="14AB73E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（1）合同协议书；</w:t>
      </w:r>
    </w:p>
    <w:p w14:paraId="0CAB92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（2）中标通知书（如果有）；</w:t>
      </w:r>
    </w:p>
    <w:p w14:paraId="4F1A47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（3）投标函及其附录（如果有）；</w:t>
      </w:r>
    </w:p>
    <w:p w14:paraId="5F3223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（4）专用合同条款</w:t>
      </w:r>
      <w:r>
        <w:rPr>
          <w:rFonts w:ascii="Times New Roman" w:hAnsi="Times New Roman" w:eastAsia="仿宋_GB2312"/>
          <w:color w:val="000000"/>
          <w:sz w:val="30"/>
          <w:szCs w:val="32"/>
        </w:rPr>
        <w:t>及其附件</w:t>
      </w:r>
      <w:r>
        <w:rPr>
          <w:rFonts w:ascii="Times New Roman" w:hAnsi="Times New Roman" w:eastAsia="仿宋_GB2312"/>
          <w:color w:val="000000"/>
          <w:kern w:val="0"/>
          <w:sz w:val="30"/>
          <w:szCs w:val="32"/>
        </w:rPr>
        <w:t>；</w:t>
      </w:r>
    </w:p>
    <w:p w14:paraId="63F1616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（5）通用合同条款；</w:t>
      </w:r>
    </w:p>
    <w:p w14:paraId="4D1E394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（6）技术标准和要求；</w:t>
      </w:r>
    </w:p>
    <w:p w14:paraId="537465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（7）图纸；</w:t>
      </w:r>
    </w:p>
    <w:p w14:paraId="49D9EA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（8）已标价工程量清单或预算书；</w:t>
      </w:r>
    </w:p>
    <w:p w14:paraId="5D14090A">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（9）其他合同文件。</w:t>
      </w:r>
    </w:p>
    <w:p w14:paraId="6E19120D">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上述各项合同文件包括合同当事人就该项合同文件所作出的补充和修改，属于同一类内容的文件，应以最新签署的为准。</w:t>
      </w:r>
    </w:p>
    <w:p w14:paraId="615A3223">
      <w:pPr>
        <w:spacing w:line="360" w:lineRule="auto"/>
        <w:ind w:firstLine="639" w:firstLineChars="213"/>
        <w:rPr>
          <w:rFonts w:ascii="Times New Roman" w:hAnsi="Times New Roman" w:eastAsia="仿宋_GB2312"/>
          <w:color w:val="000000"/>
          <w:sz w:val="30"/>
          <w:szCs w:val="32"/>
        </w:rPr>
      </w:pPr>
      <w:r>
        <w:rPr>
          <w:rFonts w:ascii="Times New Roman" w:hAnsi="Times New Roman" w:eastAsia="仿宋_GB2312"/>
          <w:color w:val="000000"/>
          <w:sz w:val="30"/>
          <w:szCs w:val="32"/>
        </w:rPr>
        <w:t>在合同订立及履行过程中形成的与合同有关的文件均构成合同文件组成部分，并根据其性质确定优先解释顺序。</w:t>
      </w:r>
    </w:p>
    <w:p w14:paraId="1C3787A8">
      <w:pPr>
        <w:pStyle w:val="6"/>
        <w:spacing w:before="120" w:after="120" w:line="360" w:lineRule="auto"/>
        <w:ind w:firstLine="600" w:firstLineChars="200"/>
        <w:rPr>
          <w:rFonts w:ascii="Times New Roman" w:hAnsi="Times New Roman" w:eastAsia="黑体"/>
          <w:b w:val="0"/>
          <w:color w:val="000000"/>
          <w:sz w:val="30"/>
          <w:szCs w:val="32"/>
        </w:rPr>
      </w:pPr>
      <w:bookmarkStart w:id="49" w:name="_Toc351203501"/>
      <w:r>
        <w:rPr>
          <w:rFonts w:ascii="Times New Roman" w:hAnsi="Times New Roman" w:eastAsia="黑体"/>
          <w:b w:val="0"/>
          <w:color w:val="000000"/>
          <w:sz w:val="30"/>
          <w:szCs w:val="32"/>
        </w:rPr>
        <w:t>1</w:t>
      </w:r>
      <w:bookmarkStart w:id="50" w:name="_Toc296346533"/>
      <w:bookmarkStart w:id="51" w:name="_Toc296503032"/>
      <w:bookmarkStart w:id="52" w:name="_Toc337558732"/>
      <w:r>
        <w:rPr>
          <w:rFonts w:ascii="Times New Roman" w:hAnsi="Times New Roman" w:eastAsia="黑体"/>
          <w:b w:val="0"/>
          <w:color w:val="000000"/>
          <w:sz w:val="30"/>
          <w:szCs w:val="32"/>
        </w:rPr>
        <w:t>.6图纸和承包人文件</w:t>
      </w:r>
      <w:bookmarkEnd w:id="49"/>
    </w:p>
    <w:bookmarkEnd w:id="50"/>
    <w:bookmarkEnd w:id="51"/>
    <w:bookmarkEnd w:id="52"/>
    <w:p w14:paraId="4C638AC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 图纸的提供和交底</w:t>
      </w:r>
    </w:p>
    <w:p w14:paraId="2D45AC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发包人应按照专用合同条款约定的期限、数量和内容向承包人免费提供图纸，并组织承包人、监理人和设计人进行图纸会审和设计交底。发包人至迟不得晚于第7.3.2项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载明的开工日期前14天向承包人提供图纸。</w:t>
      </w:r>
    </w:p>
    <w:p w14:paraId="2A6255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因发包人未按合同约定提供图纸导致承包人费用增加和（或）工期延误的，按照第7.5.1项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0BE63B2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 图纸的错误</w:t>
      </w:r>
    </w:p>
    <w:p w14:paraId="2D1B67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收到发包人提供的图纸后，发现图纸存在差错、遗漏或缺陷的，应及时通知监理人。监理人接到该通知后，应附具相关意见并立即报送发包人，发包人应在收到监理人报送的通知后的合理时间内作出决定。</w:t>
      </w:r>
      <w:r>
        <w:rPr>
          <w:rFonts w:hint="eastAsia" w:ascii="Times New Roman" w:hAnsi="Times New Roman" w:eastAsia="仿宋_GB2312"/>
          <w:color w:val="000000"/>
          <w:kern w:val="0"/>
          <w:sz w:val="30"/>
          <w:szCs w:val="32"/>
        </w:rPr>
        <w:t>合理时间是指发包人在收到监理人的报送通知后，尽其努力且不懈怠地完成图纸修改补充所需的时间。</w:t>
      </w:r>
    </w:p>
    <w:p w14:paraId="47445F0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1.6.3 图纸的修改和补充</w:t>
      </w:r>
    </w:p>
    <w:p w14:paraId="46A5D4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图纸需要修改和补充的，应经图纸原设计人及审批部门同意，并由监理人在工程或工程相应部位施工前将修改后的图纸或补充图纸提交给承包人，承包人应按修改或补充后的图纸施工。</w:t>
      </w:r>
    </w:p>
    <w:p w14:paraId="160DDDE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1.6.4 承包人文件</w:t>
      </w:r>
    </w:p>
    <w:p w14:paraId="508F78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承包人应按照专用合同条款的约定提供应当由其编制的与工程施工有关的文件，并按照专用合同条款约定的期限、数量和形式提交监理人，并由监理人报送发包人。</w:t>
      </w:r>
    </w:p>
    <w:p w14:paraId="7AA32B4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文件后7天内审查完毕，监理人对承包人文件有异议的，承包人应予以修改，并重新报送监理人。监理人的审查并不减轻或免除承包人根据合同约定应当承担的责任。</w:t>
      </w:r>
    </w:p>
    <w:p w14:paraId="308263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1.6.5 图纸和承包人文件的保管</w:t>
      </w:r>
    </w:p>
    <w:p w14:paraId="7099DCA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除专用合同条款另有约定外，承包人应在施工现场另外保存一套完整的图纸和承包人文件，供发包人、监理人及有关人员进行工程检查时使用。</w:t>
      </w:r>
    </w:p>
    <w:p w14:paraId="59C2AE99">
      <w:pPr>
        <w:pStyle w:val="6"/>
        <w:spacing w:before="120" w:after="120" w:line="360" w:lineRule="auto"/>
        <w:ind w:firstLine="600" w:firstLineChars="200"/>
        <w:rPr>
          <w:rFonts w:ascii="Times New Roman" w:hAnsi="Times New Roman" w:eastAsia="黑体"/>
          <w:b w:val="0"/>
          <w:color w:val="000000"/>
          <w:sz w:val="30"/>
          <w:szCs w:val="32"/>
        </w:rPr>
      </w:pPr>
      <w:bookmarkStart w:id="53" w:name="_Toc351203502"/>
      <w:r>
        <w:rPr>
          <w:rFonts w:ascii="Times New Roman" w:hAnsi="Times New Roman" w:eastAsia="黑体"/>
          <w:b w:val="0"/>
          <w:color w:val="000000"/>
          <w:sz w:val="30"/>
          <w:szCs w:val="32"/>
        </w:rPr>
        <w:t>1</w:t>
      </w:r>
      <w:bookmarkStart w:id="54" w:name="_Toc337558733"/>
      <w:bookmarkStart w:id="55" w:name="_Toc296346534"/>
      <w:bookmarkStart w:id="56" w:name="_Toc296503033"/>
      <w:r>
        <w:rPr>
          <w:rFonts w:ascii="Times New Roman" w:hAnsi="Times New Roman" w:eastAsia="黑体"/>
          <w:b w:val="0"/>
          <w:color w:val="000000"/>
          <w:sz w:val="30"/>
          <w:szCs w:val="32"/>
        </w:rPr>
        <w:t>.7联络</w:t>
      </w:r>
      <w:bookmarkEnd w:id="53"/>
    </w:p>
    <w:bookmarkEnd w:id="54"/>
    <w:bookmarkEnd w:id="55"/>
    <w:bookmarkEnd w:id="56"/>
    <w:p w14:paraId="328EC7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1.7.1 与合同有关的通知、批准、证明、证书、指示、指令、要求、请求、同意、意见、确定和决定等，均应采用书面形式，并应在合同约定的期限内送达接收人和送达地点。</w:t>
      </w:r>
    </w:p>
    <w:p w14:paraId="32FFC0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发包人和承包人应在专用合同条款中约定各自的送达接收人和送达地点。任何一方合同当事人指定的接收人或送达地点发生变动的，应提前3天以书面形式通知对方。</w:t>
      </w:r>
    </w:p>
    <w:p w14:paraId="59C24B0B">
      <w:pPr>
        <w:autoSpaceDE w:val="0"/>
        <w:autoSpaceDN w:val="0"/>
        <w:adjustRightInd w:val="0"/>
        <w:spacing w:line="360" w:lineRule="auto"/>
        <w:ind w:firstLine="600" w:firstLineChars="200"/>
        <w:jc w:val="left"/>
        <w:rPr>
          <w:rFonts w:ascii="Times New Roman" w:hAnsi="Times New Roman" w:eastAsia="仿宋_GB2312"/>
          <w:color w:val="FF0000"/>
          <w:kern w:val="0"/>
          <w:sz w:val="30"/>
          <w:szCs w:val="32"/>
        </w:rPr>
      </w:pPr>
      <w:r>
        <w:rPr>
          <w:rFonts w:ascii="Times New Roman" w:hAnsi="Times New Roman" w:eastAsia="仿宋_GB2312"/>
          <w:color w:val="000000"/>
          <w:kern w:val="0"/>
          <w:sz w:val="30"/>
          <w:szCs w:val="32"/>
        </w:rPr>
        <w:t>1.7.3 发包人和承包人应当及时签收另一方送达至送达地点和指定接收人的来往信函。拒不签收的，由此增加的费用和（或）延误的工期由拒绝接收一方承担。</w:t>
      </w:r>
    </w:p>
    <w:p w14:paraId="2114C263">
      <w:pPr>
        <w:pStyle w:val="6"/>
        <w:spacing w:before="120" w:after="120" w:line="360" w:lineRule="auto"/>
        <w:ind w:firstLine="600" w:firstLineChars="200"/>
        <w:rPr>
          <w:rFonts w:ascii="Times New Roman" w:hAnsi="Times New Roman" w:eastAsia="黑体"/>
          <w:b w:val="0"/>
          <w:color w:val="000000"/>
          <w:sz w:val="30"/>
          <w:szCs w:val="32"/>
        </w:rPr>
      </w:pPr>
      <w:bookmarkStart w:id="57" w:name="_Toc351203503"/>
      <w:r>
        <w:rPr>
          <w:rFonts w:ascii="Times New Roman" w:hAnsi="Times New Roman" w:eastAsia="黑体"/>
          <w:b w:val="0"/>
          <w:color w:val="000000"/>
          <w:sz w:val="30"/>
          <w:szCs w:val="32"/>
        </w:rPr>
        <w:t>1</w:t>
      </w:r>
      <w:bookmarkStart w:id="58" w:name="_Toc296503035"/>
      <w:bookmarkStart w:id="59" w:name="_Toc296346536"/>
      <w:bookmarkStart w:id="60" w:name="_Toc337558734"/>
      <w:r>
        <w:rPr>
          <w:rFonts w:ascii="Times New Roman" w:hAnsi="Times New Roman" w:eastAsia="黑体"/>
          <w:b w:val="0"/>
          <w:color w:val="000000"/>
          <w:sz w:val="30"/>
          <w:szCs w:val="32"/>
        </w:rPr>
        <w:t>.8严禁贿赂</w:t>
      </w:r>
      <w:bookmarkEnd w:id="57"/>
    </w:p>
    <w:bookmarkEnd w:id="58"/>
    <w:bookmarkEnd w:id="59"/>
    <w:bookmarkEnd w:id="60"/>
    <w:p w14:paraId="65E017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合同当事人不得以贿赂或变相贿赂的方式，谋取非法利益或损害对方权益。因一方合同当事人的贿赂造成对方损失的，应赔偿损失，并承担相应的法律责任。</w:t>
      </w:r>
    </w:p>
    <w:p w14:paraId="1607ED3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承包人不得与监理人或发包人聘请的第三方串通损害发包人利益。未经发包人书面同意，承包人不得为监理人提供合同约定以外的通讯设备、交通工具及其他任何形式的利益，不得向监理人支付报酬。</w:t>
      </w:r>
    </w:p>
    <w:p w14:paraId="1B8ED9D2">
      <w:pPr>
        <w:pStyle w:val="6"/>
        <w:spacing w:before="120" w:after="120" w:line="360" w:lineRule="auto"/>
        <w:ind w:firstLine="600" w:firstLineChars="200"/>
        <w:rPr>
          <w:rFonts w:ascii="Times New Roman" w:hAnsi="Times New Roman" w:eastAsia="黑体"/>
          <w:b w:val="0"/>
          <w:color w:val="000000"/>
          <w:sz w:val="30"/>
          <w:szCs w:val="32"/>
        </w:rPr>
      </w:pPr>
      <w:bookmarkStart w:id="61" w:name="_Toc351203504"/>
      <w:r>
        <w:rPr>
          <w:rFonts w:ascii="Times New Roman" w:hAnsi="Times New Roman" w:eastAsia="黑体"/>
          <w:b w:val="0"/>
          <w:color w:val="000000"/>
          <w:sz w:val="30"/>
          <w:szCs w:val="32"/>
        </w:rPr>
        <w:t>1</w:t>
      </w:r>
      <w:bookmarkStart w:id="62" w:name="_Toc296346537"/>
      <w:bookmarkStart w:id="63" w:name="_Toc296503036"/>
      <w:bookmarkStart w:id="64" w:name="_Toc337558735"/>
      <w:r>
        <w:rPr>
          <w:rFonts w:ascii="Times New Roman" w:hAnsi="Times New Roman" w:eastAsia="黑体"/>
          <w:b w:val="0"/>
          <w:color w:val="000000"/>
          <w:sz w:val="30"/>
          <w:szCs w:val="32"/>
        </w:rPr>
        <w:t>.9化石、文物</w:t>
      </w:r>
      <w:bookmarkEnd w:id="61"/>
    </w:p>
    <w:bookmarkEnd w:id="62"/>
    <w:bookmarkEnd w:id="63"/>
    <w:bookmarkEnd w:id="64"/>
    <w:p w14:paraId="68FA15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施工现场发掘的所有文物、古迹以及具有地质研究或考古价值的其他遗迹、化石、钱币或物品属于国家所有。一旦发现上述文物，承包人应采取合理有效的保护措施，防止任何人员移动或损坏上述物品，并立即报告有关政府行政管理部门，同时通知监理人。</w:t>
      </w:r>
    </w:p>
    <w:p w14:paraId="0BB911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发包人、监理人和承包人应按有关政府行政管理部门要求采取妥善的保护措施，由此增加的费用和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或）延误的工期由发包人承担。</w:t>
      </w:r>
    </w:p>
    <w:p w14:paraId="16036F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承包人发现文物后不及时报告或隐瞒不报，致使文物丢失或损坏的，应赔偿损失，并承担相应的法律责任。</w:t>
      </w:r>
    </w:p>
    <w:p w14:paraId="47779966">
      <w:pPr>
        <w:pStyle w:val="6"/>
        <w:spacing w:before="120" w:after="120" w:line="360" w:lineRule="auto"/>
        <w:ind w:firstLine="600" w:firstLineChars="200"/>
        <w:rPr>
          <w:rFonts w:ascii="Times New Roman" w:hAnsi="Times New Roman" w:eastAsia="黑体"/>
          <w:b w:val="0"/>
          <w:color w:val="000000"/>
          <w:sz w:val="30"/>
          <w:szCs w:val="32"/>
        </w:rPr>
      </w:pPr>
      <w:bookmarkStart w:id="65" w:name="_Toc351203505"/>
      <w:r>
        <w:rPr>
          <w:rFonts w:ascii="Times New Roman" w:hAnsi="Times New Roman" w:eastAsia="黑体"/>
          <w:b w:val="0"/>
          <w:color w:val="000000"/>
          <w:sz w:val="30"/>
          <w:szCs w:val="32"/>
        </w:rPr>
        <w:t>1</w:t>
      </w:r>
      <w:bookmarkStart w:id="66" w:name="_Toc337558736"/>
      <w:r>
        <w:rPr>
          <w:rFonts w:ascii="Times New Roman" w:hAnsi="Times New Roman" w:eastAsia="黑体"/>
          <w:b w:val="0"/>
          <w:color w:val="000000"/>
          <w:sz w:val="30"/>
          <w:szCs w:val="32"/>
        </w:rPr>
        <w:t>.10交通运输</w:t>
      </w:r>
      <w:bookmarkEnd w:id="65"/>
    </w:p>
    <w:bookmarkEnd w:id="66"/>
    <w:p w14:paraId="2A37429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1.10.1</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出入现场的权利</w:t>
      </w:r>
    </w:p>
    <w:p w14:paraId="1191F22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除专用合同条款另有约定外，发包人应根据施工需要，负责取得出入施工现场所需的</w:t>
      </w:r>
      <w:r>
        <w:rPr>
          <w:rFonts w:hint="eastAsia" w:ascii="Times New Roman" w:hAnsi="Times New Roman" w:eastAsia="仿宋_GB2312"/>
          <w:color w:val="000000"/>
          <w:kern w:val="0"/>
          <w:sz w:val="30"/>
          <w:szCs w:val="32"/>
        </w:rPr>
        <w:t>批准手续和</w:t>
      </w:r>
      <w:r>
        <w:rPr>
          <w:rFonts w:ascii="Times New Roman" w:hAnsi="Times New Roman" w:eastAsia="仿宋_GB2312"/>
          <w:color w:val="000000"/>
          <w:kern w:val="0"/>
          <w:sz w:val="30"/>
          <w:szCs w:val="32"/>
        </w:rPr>
        <w:t>全部权利，以及取得因施工所需修建道路、桥梁以及其他基础设施的权利，并承担相关手续费用和建设费用。承包人应协助发包人办理修建场内外道路、桥梁以及其他基础设施的手续。</w:t>
      </w:r>
    </w:p>
    <w:p w14:paraId="269078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承包人应在订立合同前查勘施工现场，并根据工程规模及技术参数合理预见工程施工所需的进出施工现场的方式、手段、路径等。因承包人未合理预见所增加的费用和（或）延误的工期由承包人承担。</w:t>
      </w:r>
    </w:p>
    <w:p w14:paraId="1ACE88B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1.10.2</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场外交通</w:t>
      </w:r>
    </w:p>
    <w:p w14:paraId="4430BB0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外交通设施的技术参数和具体条件，承包人应遵守有关交通法规，严格按照道路和桥梁的限制荷载行驶，执行有关道路限速、限行、禁止超载的规定，并配合交通管理部门的监督和检查。场外交通设施无法满足工程施工需要的，由发包人负责完善并承担相关费用。</w:t>
      </w:r>
    </w:p>
    <w:p w14:paraId="445D0F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1.10.3场内交通</w:t>
      </w:r>
    </w:p>
    <w:p w14:paraId="028622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提供场内交通设施的技术参数和具体条件，并应按照专用合同条款的约定向承包人免费提供满足工程施工所需的场内道路和交通设施。因承包人原因造成上述道路或交通设施损坏的，承包人负责修复并承担由此增加的费用。</w:t>
      </w:r>
    </w:p>
    <w:p w14:paraId="1740224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发包人按照合同约定提供的场内道路和交通设施外，承包人负责修建、维修、养护和管理施工所需的其他场内临时道路和交通设施。发包人和监理人可以为实现合同目的使用承包人修建的场内临时道路和交通设施。</w:t>
      </w:r>
    </w:p>
    <w:p w14:paraId="2FDAD86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场外交通和场内交通的边界由合同当事人在专用合同条款中约定。</w:t>
      </w:r>
    </w:p>
    <w:p w14:paraId="145FFF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超大件和超重件的运输</w:t>
      </w:r>
    </w:p>
    <w:p w14:paraId="489956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由承包人负责运输的超大件或超重件，应由承包人负责向交通管理部门办理申请手续，发包人给予协助。运输超大件或超重件所需的道路和桥梁临时加固改造费用和其他有关费用，由承包人承担，但专用合同条款另有约定除外。</w:t>
      </w:r>
    </w:p>
    <w:p w14:paraId="22F1D81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1.10.5</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道路和桥梁的损坏责任</w:t>
      </w:r>
    </w:p>
    <w:p w14:paraId="77606EA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因承包人运输造成施工场地内外公共道路和桥梁损坏的，由承包人承担修复损坏的全部费用和可能引起的赔偿。</w:t>
      </w:r>
    </w:p>
    <w:p w14:paraId="0F793F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1.10.6</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水路和航空运输</w:t>
      </w:r>
    </w:p>
    <w:p w14:paraId="11C4D6C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本</w:t>
      </w:r>
      <w:r>
        <w:rPr>
          <w:rFonts w:hint="eastAsia" w:ascii="Times New Roman" w:hAnsi="Times New Roman" w:eastAsia="仿宋_GB2312"/>
          <w:color w:val="000000"/>
          <w:kern w:val="0"/>
          <w:sz w:val="30"/>
          <w:szCs w:val="32"/>
        </w:rPr>
        <w:t>款</w:t>
      </w:r>
      <w:r>
        <w:rPr>
          <w:rFonts w:ascii="Times New Roman" w:hAnsi="Times New Roman" w:eastAsia="仿宋_GB2312"/>
          <w:color w:val="000000"/>
          <w:kern w:val="0"/>
          <w:sz w:val="30"/>
          <w:szCs w:val="32"/>
        </w:rPr>
        <w:t>前述各</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的内容适用于水路运输和航空运输，其中“道路”一词的涵义包括河道、航线、船闸、机场、码头、堤防以及水路或航空运输中其他相似结构物；“车辆”一词的涵义包括船舶和飞机等。</w:t>
      </w:r>
    </w:p>
    <w:p w14:paraId="36D10F39">
      <w:pPr>
        <w:pStyle w:val="6"/>
        <w:spacing w:before="120" w:after="120" w:line="360" w:lineRule="auto"/>
        <w:ind w:firstLine="600" w:firstLineChars="200"/>
        <w:rPr>
          <w:rFonts w:ascii="Times New Roman" w:hAnsi="Times New Roman" w:eastAsia="黑体"/>
          <w:b w:val="0"/>
          <w:color w:val="000000"/>
          <w:sz w:val="30"/>
          <w:szCs w:val="32"/>
        </w:rPr>
      </w:pPr>
      <w:bookmarkStart w:id="67" w:name="_Toc351203506"/>
      <w:r>
        <w:rPr>
          <w:rFonts w:ascii="Times New Roman" w:hAnsi="Times New Roman" w:eastAsia="黑体"/>
          <w:b w:val="0"/>
          <w:color w:val="000000"/>
          <w:sz w:val="30"/>
          <w:szCs w:val="32"/>
        </w:rPr>
        <w:t>1</w:t>
      </w:r>
      <w:bookmarkStart w:id="68" w:name="_Toc337558737"/>
      <w:bookmarkStart w:id="69" w:name="_Toc296503037"/>
      <w:bookmarkStart w:id="70" w:name="_Toc296346538"/>
      <w:r>
        <w:rPr>
          <w:rFonts w:ascii="Times New Roman" w:hAnsi="Times New Roman" w:eastAsia="黑体"/>
          <w:b w:val="0"/>
          <w:color w:val="000000"/>
          <w:sz w:val="30"/>
          <w:szCs w:val="32"/>
        </w:rPr>
        <w:t>.11知识产权</w:t>
      </w:r>
      <w:bookmarkEnd w:id="67"/>
      <w:r>
        <w:rPr>
          <w:rFonts w:ascii="Times New Roman" w:hAnsi="Times New Roman" w:eastAsia="黑体"/>
          <w:b w:val="0"/>
          <w:color w:val="000000"/>
          <w:sz w:val="30"/>
          <w:szCs w:val="32"/>
        </w:rPr>
        <w:t xml:space="preserve"> </w:t>
      </w:r>
      <w:bookmarkEnd w:id="68"/>
    </w:p>
    <w:bookmarkEnd w:id="69"/>
    <w:bookmarkEnd w:id="70"/>
    <w:p w14:paraId="3D370A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 除专用合同条款另有约定外，发包人提供给承包人的图纸、发包人为实施工程自行编制或委托编制的技术规范以及反映发包人要求的或其他类似性质的文件的著作权属于发包人，承包人可以为实现合同目的而复制、使用此类文件，但不能用于与合同无关的其他事项。未经发包人书面同意，承包人不得为了合同以外的目的而复制、使用上述文件或将之提供给任何第三方。</w:t>
      </w:r>
    </w:p>
    <w:p w14:paraId="33FB28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1.11.2 除专用合同条款另有约定外，承包人为实施工程所编制的文件，除署名权以外的著作权属于发包人，承包人可因实施工程的运行、调试、维修、改造等目的而复制、使用此类文件，但不能用于与合同无关的其他事项。未经发包人书面同意，承包人不得为了合同以外的目的而复制、使用上述文件或将之提供给任何第三方。</w:t>
      </w:r>
    </w:p>
    <w:p w14:paraId="18B99D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1.11.3 合同当事人保证在履行合同过程中不侵犯对方及第三方的知识产权。承包人在使用材料、施工设备、工程设备或采用施工工艺时，因侵犯他人的专利权或其他知识产权所引起的责任，由承包人承担；因发包人提供的材料、施工设备、工程设备或施工工艺导致侵权的，由发包人承担责任。</w:t>
      </w:r>
    </w:p>
    <w:p w14:paraId="2078231C">
      <w:pPr>
        <w:rPr>
          <w:rFonts w:ascii="Times New Roman" w:hAnsi="Times New Roman"/>
          <w:sz w:val="30"/>
          <w:szCs w:val="24"/>
        </w:rPr>
      </w:pPr>
      <w:r>
        <w:rPr>
          <w:rFonts w:ascii="Times New Roman" w:hAnsi="Times New Roman" w:eastAsia="仿宋_GB2312"/>
          <w:color w:val="000000"/>
          <w:kern w:val="0"/>
          <w:sz w:val="30"/>
          <w:szCs w:val="32"/>
        </w:rPr>
        <w:t xml:space="preserve">    </w:t>
      </w:r>
      <w:r>
        <w:rPr>
          <w:rFonts w:ascii="Times New Roman" w:hAnsi="Times New Roman" w:eastAsia="仿宋_GB2312"/>
          <w:color w:val="000000"/>
          <w:sz w:val="30"/>
          <w:szCs w:val="32"/>
        </w:rPr>
        <w:t>1.11.4 除专用合同条款另有约定外，承包人在合同签订前和签订时已确定采用的专利、专有技术、技术秘密的使用费已包含在签约合同价中。</w:t>
      </w:r>
    </w:p>
    <w:p w14:paraId="42D685BD">
      <w:pPr>
        <w:pStyle w:val="6"/>
        <w:spacing w:before="120" w:after="120" w:line="360" w:lineRule="auto"/>
        <w:ind w:firstLine="600" w:firstLineChars="200"/>
        <w:rPr>
          <w:rFonts w:ascii="Times New Roman" w:hAnsi="Times New Roman" w:eastAsia="黑体"/>
          <w:b w:val="0"/>
          <w:color w:val="000000"/>
          <w:sz w:val="30"/>
          <w:szCs w:val="32"/>
        </w:rPr>
      </w:pPr>
      <w:bookmarkStart w:id="71" w:name="_Toc351203507"/>
      <w:r>
        <w:rPr>
          <w:rFonts w:ascii="Times New Roman" w:hAnsi="Times New Roman" w:eastAsia="黑体"/>
          <w:b w:val="0"/>
          <w:color w:val="000000"/>
          <w:sz w:val="30"/>
          <w:szCs w:val="32"/>
        </w:rPr>
        <w:t>1</w:t>
      </w:r>
      <w:bookmarkStart w:id="72" w:name="_Toc337558738"/>
      <w:r>
        <w:rPr>
          <w:rFonts w:ascii="Times New Roman" w:hAnsi="Times New Roman" w:eastAsia="黑体"/>
          <w:b w:val="0"/>
          <w:color w:val="000000"/>
          <w:sz w:val="30"/>
          <w:szCs w:val="32"/>
        </w:rPr>
        <w:t>.12保密</w:t>
      </w:r>
      <w:bookmarkEnd w:id="71"/>
    </w:p>
    <w:bookmarkEnd w:id="72"/>
    <w:p w14:paraId="28E828D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除法律规定或合同另有约定外，未经发包人同意，承包人不得将发包人提供的图纸、文件以及声明需要保密的资料信息等商业秘密泄露给第三方。</w:t>
      </w:r>
    </w:p>
    <w:p w14:paraId="2F8DE6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除法律规定或合同另有约定外，未经承包人同意，发包人不得将承包人提供的技术秘密及声明需要保密的资料信息等商业秘密泄露给第三方。</w:t>
      </w:r>
    </w:p>
    <w:p w14:paraId="5A349D7C">
      <w:pPr>
        <w:pStyle w:val="6"/>
        <w:spacing w:before="120" w:after="120" w:line="360" w:lineRule="auto"/>
        <w:ind w:firstLine="600" w:firstLineChars="200"/>
        <w:rPr>
          <w:rFonts w:ascii="Times New Roman" w:hAnsi="Times New Roman" w:eastAsia="黑体"/>
          <w:b w:val="0"/>
          <w:color w:val="000000"/>
          <w:sz w:val="30"/>
          <w:szCs w:val="32"/>
        </w:rPr>
      </w:pPr>
      <w:bookmarkStart w:id="73" w:name="_Toc351203508"/>
      <w:r>
        <w:rPr>
          <w:rFonts w:ascii="Times New Roman" w:hAnsi="Times New Roman" w:eastAsia="黑体"/>
          <w:b w:val="0"/>
          <w:color w:val="000000"/>
          <w:sz w:val="30"/>
          <w:szCs w:val="32"/>
        </w:rPr>
        <w:t>1.13工程量清单错误的修正</w:t>
      </w:r>
      <w:bookmarkEnd w:id="73"/>
    </w:p>
    <w:p w14:paraId="41D88B3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发包人提供的工程量清单，应被认为是准确的和完整的。出现下列情形之一时，发包人应予以修正，并相应调整合同价格：</w:t>
      </w:r>
    </w:p>
    <w:p w14:paraId="0702D2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（1）工程量清单存在缺项、漏项的；</w:t>
      </w:r>
    </w:p>
    <w:p w14:paraId="18A3C0B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（2）工程量清单偏差超出专用合同条款约定的工程量偏差范围的；</w:t>
      </w:r>
    </w:p>
    <w:p w14:paraId="1576DAE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（3）未按照国家现行计量规范强制性规定计量的。</w:t>
      </w:r>
    </w:p>
    <w:p w14:paraId="2F583DDB">
      <w:pPr>
        <w:pStyle w:val="5"/>
        <w:spacing w:before="120" w:after="120" w:line="360" w:lineRule="auto"/>
        <w:rPr>
          <w:rFonts w:ascii="Times New Roman" w:hAnsi="Times New Roman" w:eastAsia="黑体"/>
          <w:b w:val="0"/>
          <w:color w:val="000000"/>
          <w:sz w:val="32"/>
          <w:szCs w:val="32"/>
        </w:rPr>
      </w:pPr>
      <w:bookmarkStart w:id="74" w:name="_Toc351203509"/>
      <w:r>
        <w:rPr>
          <w:rFonts w:ascii="Times New Roman" w:hAnsi="Times New Roman" w:eastAsia="黑体"/>
          <w:b w:val="0"/>
          <w:color w:val="000000"/>
          <w:sz w:val="32"/>
          <w:szCs w:val="32"/>
        </w:rPr>
        <w:t>2</w:t>
      </w:r>
      <w:bookmarkStart w:id="75" w:name="_Toc296503038"/>
      <w:bookmarkStart w:id="76" w:name="_Toc296346539"/>
      <w:bookmarkStart w:id="77" w:name="_Toc337558739"/>
      <w:bookmarkStart w:id="78" w:name="OLE_LINK1"/>
      <w:bookmarkStart w:id="79" w:name="OLE_LINK2"/>
      <w:r>
        <w:rPr>
          <w:rFonts w:ascii="Times New Roman" w:hAnsi="Times New Roman" w:eastAsia="黑体"/>
          <w:b w:val="0"/>
          <w:color w:val="000000"/>
          <w:sz w:val="32"/>
          <w:szCs w:val="32"/>
        </w:rPr>
        <w:t>. 发包人</w:t>
      </w:r>
      <w:bookmarkEnd w:id="74"/>
    </w:p>
    <w:bookmarkEnd w:id="75"/>
    <w:bookmarkEnd w:id="76"/>
    <w:bookmarkEnd w:id="77"/>
    <w:p w14:paraId="71775272">
      <w:pPr>
        <w:pStyle w:val="6"/>
        <w:spacing w:before="120" w:after="120" w:line="360" w:lineRule="auto"/>
        <w:ind w:firstLine="600" w:firstLineChars="200"/>
        <w:rPr>
          <w:rFonts w:ascii="Times New Roman" w:hAnsi="Times New Roman" w:eastAsia="黑体"/>
          <w:b w:val="0"/>
          <w:color w:val="000000"/>
          <w:sz w:val="30"/>
          <w:szCs w:val="32"/>
        </w:rPr>
      </w:pPr>
      <w:bookmarkStart w:id="80" w:name="_Toc351203510"/>
      <w:r>
        <w:rPr>
          <w:rFonts w:ascii="Times New Roman" w:hAnsi="Times New Roman" w:eastAsia="黑体"/>
          <w:b w:val="0"/>
          <w:color w:val="000000"/>
          <w:sz w:val="30"/>
          <w:szCs w:val="32"/>
        </w:rPr>
        <w:t>2</w:t>
      </w:r>
      <w:bookmarkStart w:id="81" w:name="_Toc337558740"/>
      <w:bookmarkStart w:id="82" w:name="_Toc296346540"/>
      <w:bookmarkStart w:id="83" w:name="_Toc296503039"/>
      <w:r>
        <w:rPr>
          <w:rFonts w:ascii="Times New Roman" w:hAnsi="Times New Roman" w:eastAsia="黑体"/>
          <w:b w:val="0"/>
          <w:color w:val="000000"/>
          <w:sz w:val="30"/>
          <w:szCs w:val="32"/>
        </w:rPr>
        <w:t>.1 许可或批准</w:t>
      </w:r>
      <w:bookmarkEnd w:id="80"/>
    </w:p>
    <w:p w14:paraId="61DF87C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遵守法律，并办理法律规定由其办理的许可、批准或备案，包括但不限于建设用地规划许可证、建设工程规划许可证、建设工程施工许可证、施工所需临时用水、临时用电、中断道路交通、临时占用土地等许可和批准。发包人应协助承包人办理法律规定的有关施工证件和批件。</w:t>
      </w:r>
    </w:p>
    <w:p w14:paraId="55D23E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因发包人原因未能及时办理完毕前述许可、批准或备案，由发包人承担由此增加的费用和（或）延误的工期，并支付承包人合理的利润。</w:t>
      </w:r>
    </w:p>
    <w:p w14:paraId="5B5F67EC">
      <w:pPr>
        <w:pStyle w:val="6"/>
        <w:spacing w:before="120" w:after="120" w:line="360" w:lineRule="auto"/>
        <w:ind w:firstLine="600" w:firstLineChars="200"/>
        <w:rPr>
          <w:rFonts w:ascii="Times New Roman" w:hAnsi="Times New Roman" w:eastAsia="黑体"/>
          <w:b w:val="0"/>
          <w:color w:val="000000"/>
          <w:sz w:val="30"/>
          <w:szCs w:val="32"/>
        </w:rPr>
      </w:pPr>
      <w:bookmarkStart w:id="84" w:name="_Toc351203511"/>
      <w:r>
        <w:rPr>
          <w:rFonts w:ascii="Times New Roman" w:hAnsi="Times New Roman" w:eastAsia="黑体"/>
          <w:b w:val="0"/>
          <w:color w:val="000000"/>
          <w:sz w:val="30"/>
          <w:szCs w:val="32"/>
        </w:rPr>
        <w:t>2.2 发包人代表</w:t>
      </w:r>
      <w:bookmarkEnd w:id="84"/>
    </w:p>
    <w:p w14:paraId="261850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专用合同条款中明确其派驻施工现场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提前7天书面通知承包人。</w:t>
      </w:r>
    </w:p>
    <w:p w14:paraId="4113D48A">
      <w:pPr>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发包人代表不能按照合同约定履行其职责及义务，并导致合同无法继续正常履行的，承包人可以要求发包人撤换发包人代表。</w:t>
      </w:r>
    </w:p>
    <w:p w14:paraId="6C27CAC7">
      <w:pPr>
        <w:ind w:firstLine="600" w:firstLineChars="200"/>
        <w:rPr>
          <w:rFonts w:ascii="Times New Roman" w:hAnsi="Times New Roman"/>
          <w:sz w:val="30"/>
        </w:rPr>
      </w:pPr>
      <w:r>
        <w:rPr>
          <w:rFonts w:hint="eastAsia" w:ascii="Times New Roman" w:hAnsi="Times New Roman" w:eastAsia="仿宋_GB2312"/>
          <w:color w:val="000000"/>
          <w:kern w:val="0"/>
          <w:sz w:val="30"/>
          <w:szCs w:val="32"/>
        </w:rPr>
        <w:t>不属于法定必须监理的工程，监理人的职权可以由发包人代表或发包人指定的其他人员行使。</w:t>
      </w:r>
    </w:p>
    <w:p w14:paraId="61257E75">
      <w:pPr>
        <w:pStyle w:val="6"/>
        <w:spacing w:before="120" w:after="120" w:line="360" w:lineRule="auto"/>
        <w:ind w:firstLine="600" w:firstLineChars="200"/>
        <w:rPr>
          <w:rFonts w:ascii="Times New Roman" w:hAnsi="Times New Roman" w:eastAsia="黑体"/>
          <w:b w:val="0"/>
          <w:color w:val="000000"/>
          <w:sz w:val="30"/>
          <w:szCs w:val="32"/>
        </w:rPr>
      </w:pPr>
      <w:bookmarkStart w:id="85" w:name="_Toc351203512"/>
      <w:r>
        <w:rPr>
          <w:rFonts w:ascii="Times New Roman" w:hAnsi="Times New Roman" w:eastAsia="黑体"/>
          <w:b w:val="0"/>
          <w:color w:val="000000"/>
          <w:sz w:val="30"/>
          <w:szCs w:val="32"/>
        </w:rPr>
        <w:t>2.3 发包人人员</w:t>
      </w:r>
      <w:bookmarkEnd w:id="85"/>
    </w:p>
    <w:p w14:paraId="605F35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发包人应要求在施工现场的发包人人员遵守法律及有关安全、质量、环境保护、文明施工等规定，并保障承包人免于承受因发包人人员未遵守上述要求给承包人造成的损失和责任。</w:t>
      </w:r>
    </w:p>
    <w:p w14:paraId="514A3FC0">
      <w:pPr>
        <w:spacing w:line="360" w:lineRule="auto"/>
        <w:ind w:firstLine="64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发包人人员包括发包人代表及其他由发包人派驻施工现场的人员。</w:t>
      </w:r>
      <w:bookmarkEnd w:id="81"/>
      <w:bookmarkEnd w:id="82"/>
      <w:bookmarkEnd w:id="83"/>
    </w:p>
    <w:p w14:paraId="103E7488">
      <w:pPr>
        <w:pStyle w:val="6"/>
        <w:spacing w:before="120" w:after="120" w:line="360" w:lineRule="auto"/>
        <w:ind w:firstLine="600" w:firstLineChars="200"/>
        <w:rPr>
          <w:rFonts w:ascii="Times New Roman" w:hAnsi="Times New Roman" w:eastAsia="黑体"/>
          <w:b w:val="0"/>
          <w:color w:val="000000"/>
          <w:sz w:val="30"/>
          <w:szCs w:val="32"/>
        </w:rPr>
      </w:pPr>
      <w:bookmarkStart w:id="86" w:name="_Toc351203513"/>
      <w:r>
        <w:rPr>
          <w:rFonts w:ascii="Times New Roman" w:hAnsi="Times New Roman" w:eastAsia="黑体"/>
          <w:b w:val="0"/>
          <w:color w:val="000000"/>
          <w:sz w:val="30"/>
          <w:szCs w:val="32"/>
        </w:rPr>
        <w:t>2</w:t>
      </w:r>
      <w:bookmarkStart w:id="87" w:name="_Toc296346541"/>
      <w:bookmarkStart w:id="88" w:name="_Toc337558741"/>
      <w:bookmarkStart w:id="89" w:name="_Toc296503040"/>
      <w:r>
        <w:rPr>
          <w:rFonts w:ascii="Times New Roman" w:hAnsi="Times New Roman" w:eastAsia="黑体"/>
          <w:b w:val="0"/>
          <w:color w:val="000000"/>
          <w:sz w:val="30"/>
          <w:szCs w:val="32"/>
        </w:rPr>
        <w:t>.4 施工现场、施工条件和基础资料的提供</w:t>
      </w:r>
      <w:bookmarkEnd w:id="86"/>
      <w:r>
        <w:rPr>
          <w:rFonts w:ascii="Times New Roman" w:hAnsi="Times New Roman" w:eastAsia="黑体"/>
          <w:b w:val="0"/>
          <w:color w:val="000000"/>
          <w:sz w:val="30"/>
          <w:szCs w:val="32"/>
        </w:rPr>
        <w:t xml:space="preserve"> </w:t>
      </w:r>
      <w:bookmarkEnd w:id="87"/>
      <w:bookmarkEnd w:id="88"/>
      <w:bookmarkEnd w:id="89"/>
      <w:r>
        <w:rPr>
          <w:rFonts w:ascii="Times New Roman" w:hAnsi="Times New Roman" w:eastAsia="黑体"/>
          <w:b w:val="0"/>
          <w:color w:val="000000"/>
          <w:sz w:val="30"/>
          <w:szCs w:val="32"/>
        </w:rPr>
        <w:t xml:space="preserve"> </w:t>
      </w:r>
    </w:p>
    <w:p w14:paraId="5CF45E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2.4.1 提供施工现场</w:t>
      </w:r>
    </w:p>
    <w:p w14:paraId="13DFE0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w:t>
      </w:r>
      <w:bookmarkEnd w:id="78"/>
      <w:bookmarkEnd w:id="79"/>
      <w:r>
        <w:rPr>
          <w:rFonts w:ascii="Times New Roman" w:hAnsi="Times New Roman" w:eastAsia="仿宋_GB2312"/>
          <w:color w:val="000000"/>
          <w:kern w:val="0"/>
          <w:sz w:val="30"/>
          <w:szCs w:val="32"/>
        </w:rPr>
        <w:t>专用合同条款另有约定外，发包人应</w:t>
      </w:r>
      <w:r>
        <w:rPr>
          <w:rFonts w:hint="eastAsia" w:ascii="Times New Roman" w:hAnsi="Times New Roman" w:eastAsia="仿宋_GB2312"/>
          <w:color w:val="000000"/>
          <w:kern w:val="0"/>
          <w:sz w:val="30"/>
          <w:szCs w:val="32"/>
        </w:rPr>
        <w:t>最迟于</w:t>
      </w:r>
      <w:r>
        <w:rPr>
          <w:rFonts w:ascii="Times New Roman" w:hAnsi="Times New Roman" w:eastAsia="仿宋_GB2312"/>
          <w:color w:val="000000"/>
          <w:kern w:val="0"/>
          <w:sz w:val="30"/>
          <w:szCs w:val="32"/>
        </w:rPr>
        <w:t>开工日期7天前向承包人移交施工现场。</w:t>
      </w:r>
    </w:p>
    <w:p w14:paraId="19BAC2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2.4.2 提供施工条件</w:t>
      </w:r>
    </w:p>
    <w:p w14:paraId="1B37565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除专用合同条款另有约定外，发包人应负责提供施工所需要的条件，包括：</w:t>
      </w:r>
    </w:p>
    <w:p w14:paraId="6309D1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（1）将施工用水、电力、通讯线路等施工所必需的条件接至施工现场内；</w:t>
      </w:r>
    </w:p>
    <w:p w14:paraId="552D1C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（2）保证向承包人提供正常施工所需要的进入施工现场的交通条件；</w:t>
      </w:r>
    </w:p>
    <w:p w14:paraId="705230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（3）协调处理施工现场周围地下管线和邻近建筑物、构筑物、古树名木的保护工作，并承担相关费用；</w:t>
      </w:r>
    </w:p>
    <w:p w14:paraId="6AB7F07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（4）按照专用合同条款约定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提供的其他设施和条件。</w:t>
      </w:r>
    </w:p>
    <w:p w14:paraId="6E372C8E">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2.4.3 提供基础资料</w:t>
      </w:r>
    </w:p>
    <w:p w14:paraId="0B06856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当在移交施工现场前向承包人提供施工现场及工程施工所必需的毗邻区域内供水、排水、供电、供气、供热、通信、广播电视等地下管线资料，气象和水文观测资料，地质勘察资料，相邻建筑物、构筑物和地下工程等有关基础资料，并对所提供资料的真实性、准确性和完整性负责。</w:t>
      </w:r>
    </w:p>
    <w:p w14:paraId="66C44A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按照法律规定确需在开工后方能提供的基础资料，发包人应尽其努力及时地在相应工程施工前的合理期限内提供，合理期限应以不影响承包人的正常施工为限。</w:t>
      </w:r>
    </w:p>
    <w:p w14:paraId="5E1AB64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2.4.4 逾期提供的责任</w:t>
      </w:r>
    </w:p>
    <w:p w14:paraId="73A211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因发包人原因未能按合同约定及时向承包人提供施工现场、施工条件、基础资料的，由发包人承担由此增加的费用和（或）延误的工期。</w:t>
      </w:r>
    </w:p>
    <w:p w14:paraId="30D5AF4A">
      <w:pPr>
        <w:pStyle w:val="6"/>
        <w:spacing w:before="120" w:after="120" w:line="360" w:lineRule="auto"/>
        <w:ind w:firstLine="600" w:firstLineChars="200"/>
        <w:rPr>
          <w:rFonts w:ascii="Times New Roman" w:hAnsi="Times New Roman" w:eastAsia="黑体"/>
          <w:b w:val="0"/>
          <w:color w:val="000000"/>
          <w:sz w:val="30"/>
          <w:szCs w:val="32"/>
        </w:rPr>
      </w:pPr>
      <w:bookmarkStart w:id="90" w:name="_Toc351203514"/>
      <w:r>
        <w:rPr>
          <w:rFonts w:ascii="Times New Roman" w:hAnsi="Times New Roman" w:eastAsia="黑体"/>
          <w:b w:val="0"/>
          <w:color w:val="000000"/>
          <w:sz w:val="30"/>
          <w:szCs w:val="32"/>
        </w:rPr>
        <w:t>2</w:t>
      </w:r>
      <w:bookmarkStart w:id="91" w:name="_Toc296346543"/>
      <w:bookmarkStart w:id="92" w:name="_Toc296503042"/>
      <w:bookmarkStart w:id="93" w:name="_Toc337558745"/>
      <w:r>
        <w:rPr>
          <w:rFonts w:ascii="Times New Roman" w:hAnsi="Times New Roman" w:eastAsia="黑体"/>
          <w:b w:val="0"/>
          <w:color w:val="000000"/>
          <w:sz w:val="30"/>
          <w:szCs w:val="32"/>
        </w:rPr>
        <w:t>.5 资</w:t>
      </w:r>
      <w:bookmarkEnd w:id="91"/>
      <w:bookmarkEnd w:id="92"/>
      <w:bookmarkEnd w:id="93"/>
      <w:r>
        <w:rPr>
          <w:rFonts w:ascii="Times New Roman" w:hAnsi="Times New Roman" w:eastAsia="黑体"/>
          <w:b w:val="0"/>
          <w:color w:val="000000"/>
          <w:sz w:val="30"/>
          <w:szCs w:val="32"/>
        </w:rPr>
        <w:t>金来源证明及支付担保</w:t>
      </w:r>
      <w:bookmarkEnd w:id="90"/>
    </w:p>
    <w:p w14:paraId="778BF09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除专用合同条款另有约定外，发包人应在收到承包人要求提供资金来源证明的书面通知后28天内，向承包人提供能够按照合同约定支付合同价款的相应资金来源证明。</w:t>
      </w:r>
    </w:p>
    <w:p w14:paraId="5BEE57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除专用合同条款另有约定外，发包人要求承包人提供履约担保的，发包人应当向承包人提供支付担保。支付担保可以采用银行保函或担保公司担保等形式，具体由合同当事人在专用合同条款中约定。</w:t>
      </w:r>
    </w:p>
    <w:p w14:paraId="282BB449">
      <w:pPr>
        <w:pStyle w:val="6"/>
        <w:spacing w:before="120" w:after="120" w:line="360" w:lineRule="auto"/>
        <w:ind w:firstLine="600" w:firstLineChars="200"/>
        <w:rPr>
          <w:rFonts w:ascii="Times New Roman" w:hAnsi="Times New Roman" w:eastAsia="黑体"/>
          <w:b w:val="0"/>
          <w:color w:val="000000"/>
          <w:sz w:val="30"/>
          <w:szCs w:val="32"/>
        </w:rPr>
      </w:pPr>
      <w:bookmarkStart w:id="94" w:name="_Toc351203515"/>
      <w:r>
        <w:rPr>
          <w:rFonts w:ascii="Times New Roman" w:hAnsi="Times New Roman" w:eastAsia="黑体"/>
          <w:b w:val="0"/>
          <w:color w:val="000000"/>
          <w:sz w:val="30"/>
          <w:szCs w:val="32"/>
        </w:rPr>
        <w:t>2.6 支付合同价款</w:t>
      </w:r>
      <w:bookmarkEnd w:id="94"/>
    </w:p>
    <w:p w14:paraId="4F9221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发包人应按合同约定向承包人及时支付合同价款。</w:t>
      </w:r>
    </w:p>
    <w:p w14:paraId="301C9055">
      <w:pPr>
        <w:pStyle w:val="6"/>
        <w:spacing w:before="120" w:after="120" w:line="360" w:lineRule="auto"/>
        <w:ind w:firstLine="600" w:firstLineChars="200"/>
        <w:rPr>
          <w:rFonts w:ascii="Times New Roman" w:hAnsi="Times New Roman" w:eastAsia="黑体"/>
          <w:b w:val="0"/>
          <w:color w:val="000000"/>
          <w:sz w:val="30"/>
          <w:szCs w:val="32"/>
        </w:rPr>
      </w:pPr>
      <w:bookmarkStart w:id="95" w:name="_Toc351203516"/>
      <w:r>
        <w:rPr>
          <w:rFonts w:ascii="Times New Roman" w:hAnsi="Times New Roman" w:eastAsia="黑体"/>
          <w:b w:val="0"/>
          <w:color w:val="000000"/>
          <w:sz w:val="30"/>
          <w:szCs w:val="32"/>
        </w:rPr>
        <w:t>2.7 组织竣工验收</w:t>
      </w:r>
      <w:bookmarkEnd w:id="95"/>
    </w:p>
    <w:p w14:paraId="0D2362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发包人应按合同约定及时组织竣工验收。</w:t>
      </w:r>
    </w:p>
    <w:p w14:paraId="67AF61CE">
      <w:pPr>
        <w:pStyle w:val="6"/>
        <w:spacing w:before="120" w:after="120" w:line="360" w:lineRule="auto"/>
        <w:ind w:firstLine="600" w:firstLineChars="200"/>
        <w:rPr>
          <w:rFonts w:ascii="Times New Roman" w:hAnsi="Times New Roman" w:eastAsia="黑体"/>
          <w:b w:val="0"/>
          <w:color w:val="000000"/>
          <w:sz w:val="30"/>
          <w:szCs w:val="32"/>
        </w:rPr>
      </w:pPr>
      <w:bookmarkStart w:id="96" w:name="_Toc351203517"/>
      <w:r>
        <w:rPr>
          <w:rFonts w:ascii="Times New Roman" w:hAnsi="Times New Roman" w:eastAsia="黑体"/>
          <w:b w:val="0"/>
          <w:color w:val="000000"/>
          <w:sz w:val="30"/>
          <w:szCs w:val="32"/>
        </w:rPr>
        <w:t>2.8 现场统一管理协议</w:t>
      </w:r>
      <w:bookmarkEnd w:id="96"/>
    </w:p>
    <w:p w14:paraId="2F3D26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发包人应与承包人、由发包人直接发包的专业工程的承包人签订施工现场统一管理协议，明确各方的权利义务。施工现场统一管理协议作为专用合同条款的附件。</w:t>
      </w:r>
    </w:p>
    <w:p w14:paraId="67397C71">
      <w:pPr>
        <w:pStyle w:val="5"/>
        <w:spacing w:before="120" w:after="120" w:line="360" w:lineRule="auto"/>
        <w:rPr>
          <w:rFonts w:ascii="Times New Roman" w:hAnsi="Times New Roman" w:eastAsia="黑体"/>
          <w:b w:val="0"/>
          <w:color w:val="000000"/>
          <w:sz w:val="32"/>
          <w:szCs w:val="32"/>
        </w:rPr>
      </w:pPr>
      <w:bookmarkStart w:id="97" w:name="_Toc351203518"/>
      <w:r>
        <w:rPr>
          <w:rFonts w:ascii="Times New Roman" w:hAnsi="Times New Roman" w:eastAsia="黑体"/>
          <w:b w:val="0"/>
          <w:color w:val="000000"/>
          <w:sz w:val="32"/>
          <w:szCs w:val="32"/>
        </w:rPr>
        <w:t>3</w:t>
      </w:r>
      <w:bookmarkStart w:id="98" w:name="_Toc296503045"/>
      <w:bookmarkStart w:id="99" w:name="_Toc296346546"/>
      <w:bookmarkStart w:id="100" w:name="_Toc337558746"/>
      <w:r>
        <w:rPr>
          <w:rFonts w:ascii="Times New Roman" w:hAnsi="Times New Roman" w:eastAsia="黑体"/>
          <w:b w:val="0"/>
          <w:color w:val="000000"/>
          <w:sz w:val="32"/>
          <w:szCs w:val="32"/>
        </w:rPr>
        <w:t>. 承包人</w:t>
      </w:r>
      <w:bookmarkEnd w:id="97"/>
    </w:p>
    <w:bookmarkEnd w:id="98"/>
    <w:bookmarkEnd w:id="99"/>
    <w:bookmarkEnd w:id="100"/>
    <w:p w14:paraId="1CB1DB70">
      <w:pPr>
        <w:pStyle w:val="6"/>
        <w:spacing w:before="120" w:after="120" w:line="360" w:lineRule="auto"/>
        <w:ind w:firstLine="600" w:firstLineChars="200"/>
        <w:rPr>
          <w:rFonts w:ascii="Times New Roman" w:hAnsi="Times New Roman" w:eastAsia="黑体"/>
          <w:b w:val="0"/>
          <w:color w:val="000000"/>
          <w:sz w:val="30"/>
          <w:szCs w:val="32"/>
        </w:rPr>
      </w:pPr>
      <w:bookmarkStart w:id="101" w:name="_Toc351203519"/>
      <w:r>
        <w:rPr>
          <w:rFonts w:ascii="Times New Roman" w:hAnsi="Times New Roman" w:eastAsia="黑体"/>
          <w:b w:val="0"/>
          <w:color w:val="000000"/>
          <w:sz w:val="30"/>
          <w:szCs w:val="32"/>
        </w:rPr>
        <w:t>3</w:t>
      </w:r>
      <w:bookmarkStart w:id="102" w:name="_Toc296503046"/>
      <w:bookmarkStart w:id="103" w:name="_Toc296346547"/>
      <w:bookmarkStart w:id="104" w:name="_Toc337558747"/>
      <w:r>
        <w:rPr>
          <w:rFonts w:ascii="Times New Roman" w:hAnsi="Times New Roman" w:eastAsia="黑体"/>
          <w:b w:val="0"/>
          <w:color w:val="000000"/>
          <w:sz w:val="30"/>
          <w:szCs w:val="32"/>
        </w:rPr>
        <w:t>.1 承包人的一般义务</w:t>
      </w:r>
      <w:bookmarkEnd w:id="101"/>
    </w:p>
    <w:bookmarkEnd w:id="102"/>
    <w:bookmarkEnd w:id="103"/>
    <w:bookmarkEnd w:id="104"/>
    <w:p w14:paraId="1EF204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承包人在履行合同过程中应遵守法律和工程建设标准规范，并履行以下义务：</w:t>
      </w:r>
    </w:p>
    <w:p w14:paraId="1B540D0B">
      <w:pPr>
        <w:numPr>
          <w:ilvl w:val="0"/>
          <w:numId w:val="1"/>
        </w:num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办理法律规定</w:t>
      </w:r>
      <w:r>
        <w:rPr>
          <w:rFonts w:hint="eastAsia" w:ascii="Times New Roman" w:hAnsi="Times New Roman" w:eastAsia="仿宋_GB2312"/>
          <w:color w:val="000000"/>
          <w:kern w:val="0"/>
          <w:sz w:val="30"/>
          <w:szCs w:val="32"/>
        </w:rPr>
        <w:t>应</w:t>
      </w:r>
      <w:r>
        <w:rPr>
          <w:rFonts w:ascii="Times New Roman" w:hAnsi="Times New Roman" w:eastAsia="仿宋_GB2312"/>
          <w:color w:val="000000"/>
          <w:kern w:val="0"/>
          <w:sz w:val="30"/>
          <w:szCs w:val="32"/>
        </w:rPr>
        <w:t>由承包人办理的许可和批准，并将</w:t>
      </w:r>
      <w:r>
        <w:rPr>
          <w:rFonts w:hint="eastAsia" w:ascii="Times New Roman" w:hAnsi="Times New Roman" w:eastAsia="仿宋_GB2312"/>
          <w:color w:val="000000"/>
          <w:kern w:val="0"/>
          <w:sz w:val="30"/>
          <w:szCs w:val="32"/>
        </w:rPr>
        <w:t>办理</w:t>
      </w:r>
      <w:r>
        <w:rPr>
          <w:rFonts w:ascii="Times New Roman" w:hAnsi="Times New Roman" w:eastAsia="仿宋_GB2312"/>
          <w:color w:val="000000"/>
          <w:kern w:val="0"/>
          <w:sz w:val="30"/>
          <w:szCs w:val="32"/>
        </w:rPr>
        <w:t>结果书面报送发包人留存；</w:t>
      </w:r>
    </w:p>
    <w:p w14:paraId="750DCD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（2）按法律规定和合同约定完成工程，并在保修期内承担保修义务；</w:t>
      </w:r>
    </w:p>
    <w:p w14:paraId="67FB9E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（3）按法律规定和合同约定采取施工安全和环境保护措施，办理工伤保险，确保工程及人员、材料、设备和设施的安全；</w:t>
      </w:r>
    </w:p>
    <w:p w14:paraId="152FC48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（4）按合同约定的工作内容和施工进度要求，编制施工组织设计和施工措施计划，并对所有施工作业和施工方法的完备性和安全可靠性负责；</w:t>
      </w:r>
    </w:p>
    <w:p w14:paraId="60211B0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在进行合同约定的各项工作时，不得侵害发包人与他人使用公用道路、水源、市政管网等公共设施的权利，避免对邻近的公共设施产生干扰。承包人占用或使用他人的施工场地，影响他人作业或生活的，应承担相应责任；</w:t>
      </w:r>
    </w:p>
    <w:p w14:paraId="68BA1D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（6）按照第6.3款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环境保护</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约定负责施工场地及其周边环境与生态的保护工作；</w:t>
      </w:r>
    </w:p>
    <w:p w14:paraId="04E264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（7）按第6.1款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安全文明施工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约定采取施工安全措施，确保工程及其人员、材料、设备和设施的安全，防止因工程施工造成的人身伤害和财产损失；</w:t>
      </w:r>
    </w:p>
    <w:p w14:paraId="1F2EED3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w:t>
      </w:r>
      <w:r>
        <w:rPr>
          <w:rFonts w:hint="eastAsia" w:ascii="Times New Roman" w:hAnsi="Times New Roman" w:eastAsia="仿宋_GB2312"/>
          <w:color w:val="000000"/>
          <w:kern w:val="0"/>
          <w:sz w:val="30"/>
          <w:szCs w:val="32"/>
        </w:rPr>
        <w:t>将</w:t>
      </w:r>
      <w:r>
        <w:rPr>
          <w:rFonts w:ascii="Times New Roman" w:hAnsi="Times New Roman" w:eastAsia="仿宋_GB2312"/>
          <w:color w:val="000000"/>
          <w:kern w:val="0"/>
          <w:sz w:val="30"/>
          <w:szCs w:val="32"/>
        </w:rPr>
        <w:t>发包人按合同约定支付的各项价款专用于合同工程，且应及时支付其雇用人员工资，并及时向分包人支付合同价款；</w:t>
      </w:r>
    </w:p>
    <w:p w14:paraId="78954B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（9）按照法律规定和合同约定编制竣工资料，完成竣工资料立卷及归档，并按专用合同条款约定的竣工资料的套数、内容、时间等要求移交发包人；</w:t>
      </w:r>
    </w:p>
    <w:p w14:paraId="05B169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（10）应履行的其他义务。</w:t>
      </w:r>
    </w:p>
    <w:p w14:paraId="08A7C6C2">
      <w:pPr>
        <w:pStyle w:val="6"/>
        <w:spacing w:before="120" w:after="120" w:line="360" w:lineRule="auto"/>
        <w:ind w:firstLine="600" w:firstLineChars="200"/>
        <w:rPr>
          <w:rFonts w:ascii="Times New Roman" w:hAnsi="Times New Roman" w:eastAsia="黑体"/>
          <w:b w:val="0"/>
          <w:color w:val="000000"/>
          <w:sz w:val="30"/>
          <w:szCs w:val="32"/>
        </w:rPr>
      </w:pPr>
      <w:bookmarkStart w:id="105" w:name="_Toc351203520"/>
      <w:r>
        <w:rPr>
          <w:rFonts w:ascii="Times New Roman" w:hAnsi="Times New Roman" w:eastAsia="黑体"/>
          <w:b w:val="0"/>
          <w:color w:val="000000"/>
          <w:sz w:val="30"/>
          <w:szCs w:val="32"/>
        </w:rPr>
        <w:t>3</w:t>
      </w:r>
      <w:bookmarkStart w:id="106" w:name="_Toc337558748"/>
      <w:bookmarkStart w:id="107" w:name="_Toc296503047"/>
      <w:bookmarkStart w:id="108" w:name="_Toc296346548"/>
      <w:r>
        <w:rPr>
          <w:rFonts w:ascii="Times New Roman" w:hAnsi="Times New Roman" w:eastAsia="黑体"/>
          <w:b w:val="0"/>
          <w:color w:val="000000"/>
          <w:sz w:val="30"/>
          <w:szCs w:val="32"/>
        </w:rPr>
        <w:t xml:space="preserve">.2 </w:t>
      </w:r>
      <w:bookmarkEnd w:id="105"/>
      <w:r>
        <w:rPr>
          <w:rFonts w:ascii="Times New Roman" w:hAnsi="Times New Roman" w:eastAsia="黑体"/>
          <w:b w:val="0"/>
          <w:color w:val="000000"/>
          <w:sz w:val="30"/>
          <w:szCs w:val="32"/>
        </w:rPr>
        <w:t>项目经理</w:t>
      </w:r>
    </w:p>
    <w:bookmarkEnd w:id="106"/>
    <w:bookmarkEnd w:id="107"/>
    <w:bookmarkEnd w:id="108"/>
    <w:p w14:paraId="13C70B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3.2.1 项目经理应为合同当事人所确认的人选，并在专用合同条款中明确项目经理的姓名、职称、注册执业证书编号、联系方式及授权范围等事项，项目经理经承包人授权后代表承包人负责履行合同。项目经理应是承包人正式聘用的员工，承包人应向发包人提交项目经理与承包人之间的劳动合同，以及承包人为项目经理缴纳社会保险的有效证明。承包人不提交上述文件的，项目经理无权履行职责，发包人有权要求更换项目经理，由此增加的费用和（或）延误的工期由承包人承担。</w:t>
      </w:r>
    </w:p>
    <w:p w14:paraId="2A8D635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项目经理应常驻施工现场，且每月在施工现场时间不得少于专用合同条款约定的天数。项目经理不得同时担任其他项目的项目经理。项目经理确需离开施工现场时，应事先通知监理人，并取得发包人的书面同意。项目经理的通知中应当载明临时代行其职责的人员的注册执业资格、管理经验等资料，该人员应具备履行相应职责的能力。</w:t>
      </w:r>
    </w:p>
    <w:p w14:paraId="2D05C3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承包人违反上述约定的，应按照专用合同条款的约定，承担违约责任。</w:t>
      </w:r>
    </w:p>
    <w:p w14:paraId="5D769F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3.2.2 项目经理按合同约定组织工程实施。在紧急情况下</w:t>
      </w:r>
      <w:r>
        <w:rPr>
          <w:rFonts w:hint="eastAsia" w:ascii="Times New Roman" w:hAnsi="Times New Roman" w:eastAsia="仿宋_GB2312"/>
          <w:color w:val="000000"/>
          <w:kern w:val="0"/>
          <w:sz w:val="30"/>
          <w:szCs w:val="32"/>
        </w:rPr>
        <w:t>为确保施工安全和人员安全</w:t>
      </w: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在</w:t>
      </w:r>
      <w:r>
        <w:rPr>
          <w:rFonts w:ascii="Times New Roman" w:hAnsi="Times New Roman" w:eastAsia="仿宋_GB2312"/>
          <w:color w:val="000000"/>
          <w:kern w:val="0"/>
          <w:sz w:val="30"/>
          <w:szCs w:val="32"/>
        </w:rPr>
        <w:t>无法与发包人代表和总监理工程师</w:t>
      </w:r>
      <w:r>
        <w:rPr>
          <w:rFonts w:hint="eastAsia" w:ascii="Times New Roman" w:hAnsi="Times New Roman" w:eastAsia="仿宋_GB2312"/>
          <w:color w:val="000000"/>
          <w:kern w:val="0"/>
          <w:sz w:val="30"/>
          <w:szCs w:val="32"/>
        </w:rPr>
        <w:t>及时</w:t>
      </w:r>
      <w:r>
        <w:rPr>
          <w:rFonts w:ascii="Times New Roman" w:hAnsi="Times New Roman" w:eastAsia="仿宋_GB2312"/>
          <w:color w:val="000000"/>
          <w:kern w:val="0"/>
          <w:sz w:val="30"/>
          <w:szCs w:val="32"/>
        </w:rPr>
        <w:t>取得联系时，项目经理有权采取必要的措施保证与工程有关的人身、财产和工程的安全，但应在48小时内向发包人代表和总监理工程师提交书面报告。</w:t>
      </w:r>
    </w:p>
    <w:p w14:paraId="2257EB3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3.2.3 承包人需要更换项目经理的，应提前14天书面通知发包人和监理人，并征得发包人书面同意。通知中应当载明继任项目经理的注册执业资格、管理经验等资料，继任项目经理继续履行第3.2.1项约定的职责。未经发包人书面同意，承包人不得擅自更换项目经理。承包人擅自更换项目经理的，应按照专用合同条款的约定承担违约责任。</w:t>
      </w:r>
    </w:p>
    <w:p w14:paraId="58CCE6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3.2.4 发包人有权书面通知承包人更换其认为不称职的项目经理，通知中应当载明要求更换的理由。承包人应在接到更换通知后14天内向发包人提出书面的改进报告。发包人收到改进报告后仍要求更换的，承包人应在接到第二次更换通知的28天内进行更换，并将新任命的项目经理的注册执业资格、管理经验等资料书面通知发包人。</w:t>
      </w:r>
      <w:r>
        <w:rPr>
          <w:rFonts w:hint="eastAsia" w:ascii="Times New Roman" w:hAnsi="Times New Roman" w:eastAsia="仿宋_GB2312"/>
          <w:color w:val="000000"/>
          <w:kern w:val="0"/>
          <w:sz w:val="30"/>
          <w:szCs w:val="32"/>
        </w:rPr>
        <w:t>继</w:t>
      </w:r>
      <w:r>
        <w:rPr>
          <w:rFonts w:ascii="Times New Roman" w:hAnsi="Times New Roman" w:eastAsia="仿宋_GB2312"/>
          <w:color w:val="000000"/>
          <w:kern w:val="0"/>
          <w:sz w:val="30"/>
          <w:szCs w:val="32"/>
        </w:rPr>
        <w:t>任项目经理继续履行第3.2.1项约定的职责。承包人无正当理由拒绝更换项目经理的，应按照专用合同条款的约定承担违约责任。</w:t>
      </w:r>
    </w:p>
    <w:p w14:paraId="1452EA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3.2.5 项目经理因特殊情况授权其下属人员履行其某项工作职责的，该下属人员应具备履行相应职责的能力，并应提前7天将上述人员的姓名和授权范围书面通知监理人，并征得发包人书面同意。</w:t>
      </w:r>
    </w:p>
    <w:p w14:paraId="219BD5FE">
      <w:pPr>
        <w:pStyle w:val="6"/>
        <w:spacing w:before="120" w:after="120" w:line="360" w:lineRule="auto"/>
        <w:ind w:firstLine="600" w:firstLineChars="200"/>
        <w:rPr>
          <w:rFonts w:ascii="Times New Roman" w:hAnsi="Times New Roman" w:eastAsia="黑体"/>
          <w:b w:val="0"/>
          <w:color w:val="000000"/>
          <w:sz w:val="30"/>
          <w:szCs w:val="32"/>
        </w:rPr>
      </w:pPr>
      <w:bookmarkStart w:id="109" w:name="_Toc351203521"/>
      <w:r>
        <w:rPr>
          <w:rFonts w:ascii="Times New Roman" w:hAnsi="Times New Roman" w:eastAsia="黑体"/>
          <w:b w:val="0"/>
          <w:color w:val="000000"/>
          <w:sz w:val="30"/>
          <w:szCs w:val="32"/>
        </w:rPr>
        <w:t>3</w:t>
      </w:r>
      <w:bookmarkStart w:id="110" w:name="_Toc296503048"/>
      <w:bookmarkStart w:id="111" w:name="_Toc296346549"/>
      <w:bookmarkStart w:id="112" w:name="_Toc337558749"/>
      <w:r>
        <w:rPr>
          <w:rFonts w:ascii="Times New Roman" w:hAnsi="Times New Roman" w:eastAsia="黑体"/>
          <w:b w:val="0"/>
          <w:color w:val="000000"/>
          <w:sz w:val="30"/>
          <w:szCs w:val="32"/>
        </w:rPr>
        <w:t xml:space="preserve">.3 </w:t>
      </w:r>
      <w:bookmarkEnd w:id="110"/>
      <w:bookmarkEnd w:id="111"/>
      <w:r>
        <w:rPr>
          <w:rFonts w:ascii="Times New Roman" w:hAnsi="Times New Roman" w:eastAsia="黑体"/>
          <w:b w:val="0"/>
          <w:color w:val="000000"/>
          <w:sz w:val="30"/>
          <w:szCs w:val="32"/>
        </w:rPr>
        <w:t>承包人人员</w:t>
      </w:r>
      <w:bookmarkEnd w:id="109"/>
    </w:p>
    <w:bookmarkEnd w:id="112"/>
    <w:p w14:paraId="6C2D0D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3.3.1 除专用合同条款另有约定外，承包人应在接到开工通知后7天内，向监理人提交承包人项目管理机构及施工现场人员安排的报告，其内容应包括合同管理、施工、技术、材料、质量、安全、财务等主要施工管理人员名单及其岗位、注册执业资格等，以及各工种技术工人的安排情况，并同时提交主要施工管理人员与承包人之间的劳动关系证明</w:t>
      </w:r>
      <w:r>
        <w:rPr>
          <w:rFonts w:hint="eastAsia" w:ascii="Times New Roman" w:hAnsi="Times New Roman" w:eastAsia="仿宋_GB2312"/>
          <w:color w:val="000000"/>
          <w:kern w:val="0"/>
          <w:sz w:val="30"/>
          <w:szCs w:val="32"/>
        </w:rPr>
        <w:t>和</w:t>
      </w:r>
      <w:r>
        <w:rPr>
          <w:rFonts w:ascii="Times New Roman" w:hAnsi="Times New Roman" w:eastAsia="仿宋_GB2312"/>
          <w:color w:val="000000"/>
          <w:kern w:val="0"/>
          <w:sz w:val="30"/>
          <w:szCs w:val="32"/>
        </w:rPr>
        <w:t>缴纳社会保险的有效证明。</w:t>
      </w:r>
    </w:p>
    <w:p w14:paraId="1A48B8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3.3.2 承包人派驻到施工现场的主要施工管理人员应相对稳定。施工过程中</w:t>
      </w:r>
      <w:r>
        <w:rPr>
          <w:rFonts w:hint="eastAsia" w:ascii="Times New Roman" w:hAnsi="Times New Roman" w:eastAsia="仿宋_GB2312"/>
          <w:color w:val="000000"/>
          <w:kern w:val="0"/>
          <w:sz w:val="30"/>
          <w:szCs w:val="32"/>
        </w:rPr>
        <w:t>如有变动</w:t>
      </w:r>
      <w:r>
        <w:rPr>
          <w:rFonts w:ascii="Times New Roman" w:hAnsi="Times New Roman" w:eastAsia="仿宋_GB2312"/>
          <w:color w:val="000000"/>
          <w:kern w:val="0"/>
          <w:sz w:val="30"/>
          <w:szCs w:val="32"/>
        </w:rPr>
        <w:t>，承包人应及时向监理人提交施工现场人员变动情况的报告。承包人更换主要施工管理人员时，应提前7天书面通知监理人，并征得发包人书面同意。通知中应当载明继任人员的注册执业资格、管理经验等资料。</w:t>
      </w:r>
    </w:p>
    <w:p w14:paraId="28B88C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特殊工种作业人员均应持有相应的资格证明，监理人可以随时检查。</w:t>
      </w:r>
    </w:p>
    <w:p w14:paraId="2477B5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3.3.3 发包人对于承包人主要施工管理人员</w:t>
      </w:r>
      <w:r>
        <w:rPr>
          <w:rFonts w:hint="eastAsia" w:ascii="Times New Roman" w:hAnsi="Times New Roman" w:eastAsia="仿宋_GB2312"/>
          <w:color w:val="000000"/>
          <w:kern w:val="0"/>
          <w:sz w:val="30"/>
          <w:szCs w:val="32"/>
        </w:rPr>
        <w:t>的资格或能力</w:t>
      </w:r>
      <w:r>
        <w:rPr>
          <w:rFonts w:ascii="Times New Roman" w:hAnsi="Times New Roman" w:eastAsia="仿宋_GB2312"/>
          <w:color w:val="000000"/>
          <w:kern w:val="0"/>
          <w:sz w:val="30"/>
          <w:szCs w:val="32"/>
        </w:rPr>
        <w:t>有异议的，承包人应提供资料证明被质疑人员有能力完成其岗位工作或不存在发包人所质疑的情形。发包人要求撤换不能按照合同约定履行职责及义务的主要施工管理人员的，承包人应当撤换。承包人无正当理由拒绝撤换的，应按照专用合同条款的约定承担违约责任。</w:t>
      </w:r>
    </w:p>
    <w:p w14:paraId="6394EC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3.3.4 除专用合同条款另有约定外，承包人的主要施工管理人员离开施工现场每月累计不超过5天的，应报监理人同意；离开施工现场每月累计超过5天的，应通知监理人，并征得发包人书面同意。主要施工管理人员离开施工现场前应指定一名有经验的人员临时代行其职责，该人员应具备履行相应职责的资格和能力，且应征得监理人或发包人的同意。</w:t>
      </w:r>
    </w:p>
    <w:p w14:paraId="3DAE63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3.3.5 承包人擅自更换主要施工管理人员，或前述人员未经监理人或发包人同意擅自离开施工现场的，应按照专用合同条款约定承担违约责任。</w:t>
      </w:r>
    </w:p>
    <w:p w14:paraId="417C9865">
      <w:pPr>
        <w:pStyle w:val="6"/>
        <w:spacing w:before="120" w:after="120" w:line="360" w:lineRule="auto"/>
        <w:ind w:firstLine="600" w:firstLineChars="200"/>
        <w:rPr>
          <w:rFonts w:ascii="Times New Roman" w:hAnsi="Times New Roman" w:eastAsia="黑体"/>
          <w:b w:val="0"/>
          <w:color w:val="000000"/>
          <w:sz w:val="30"/>
          <w:szCs w:val="32"/>
        </w:rPr>
      </w:pPr>
      <w:bookmarkStart w:id="113" w:name="_Toc351203522"/>
      <w:r>
        <w:rPr>
          <w:rFonts w:ascii="Times New Roman" w:hAnsi="Times New Roman" w:eastAsia="黑体"/>
          <w:b w:val="0"/>
          <w:color w:val="000000"/>
          <w:sz w:val="30"/>
          <w:szCs w:val="32"/>
        </w:rPr>
        <w:t>3</w:t>
      </w:r>
      <w:bookmarkStart w:id="114" w:name="_Toc337558750"/>
      <w:bookmarkStart w:id="115" w:name="_Toc296503050"/>
      <w:bookmarkStart w:id="116" w:name="_Toc296346551"/>
      <w:r>
        <w:rPr>
          <w:rFonts w:ascii="Times New Roman" w:hAnsi="Times New Roman" w:eastAsia="黑体"/>
          <w:b w:val="0"/>
          <w:color w:val="000000"/>
          <w:sz w:val="30"/>
          <w:szCs w:val="32"/>
        </w:rPr>
        <w:t>.4 承包人现场查勘</w:t>
      </w:r>
      <w:bookmarkEnd w:id="113"/>
    </w:p>
    <w:bookmarkEnd w:id="114"/>
    <w:bookmarkEnd w:id="115"/>
    <w:bookmarkEnd w:id="116"/>
    <w:p w14:paraId="09CFFBCF">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承包人应对基于发包人按照第2.4.3项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提供基础资料</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提交的基础资料所做出的解释和推断负责，但因基础资料存在错误、遗漏导致承包人解释或推断失实的，由发包人承担责任。</w:t>
      </w:r>
    </w:p>
    <w:p w14:paraId="323574F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现场和施工条件进行查勘，并充分了解工程所在地的气象条件、交通条件、风俗习惯以及其他与完成合同工作有关的其他资料。因承包人未能充分查勘、了解前述情况或未能充分估计前述情况所可能产生后果的，承包人承担由此增加的费用和（或）延误的工期。</w:t>
      </w:r>
    </w:p>
    <w:p w14:paraId="41EF0AA1">
      <w:pPr>
        <w:pStyle w:val="6"/>
        <w:spacing w:before="120" w:after="120" w:line="360" w:lineRule="auto"/>
        <w:ind w:firstLine="600" w:firstLineChars="200"/>
        <w:rPr>
          <w:rFonts w:hint="eastAsia" w:ascii="Times New Roman" w:hAnsi="Times New Roman" w:eastAsia="黑体"/>
          <w:b w:val="0"/>
          <w:color w:val="000000"/>
          <w:sz w:val="30"/>
          <w:szCs w:val="32"/>
        </w:rPr>
      </w:pPr>
      <w:bookmarkStart w:id="117" w:name="_Toc351203523"/>
      <w:r>
        <w:rPr>
          <w:rFonts w:ascii="Times New Roman" w:hAnsi="Times New Roman" w:eastAsia="黑体"/>
          <w:b w:val="0"/>
          <w:color w:val="000000"/>
          <w:sz w:val="30"/>
          <w:szCs w:val="32"/>
        </w:rPr>
        <w:t>3</w:t>
      </w:r>
      <w:bookmarkStart w:id="118" w:name="_Toc296503051"/>
      <w:bookmarkStart w:id="119" w:name="_Toc296346552"/>
      <w:bookmarkStart w:id="120" w:name="_Toc337558751"/>
      <w:r>
        <w:rPr>
          <w:rFonts w:ascii="Times New Roman" w:hAnsi="Times New Roman" w:eastAsia="黑体"/>
          <w:b w:val="0"/>
          <w:color w:val="000000"/>
          <w:sz w:val="30"/>
          <w:szCs w:val="32"/>
        </w:rPr>
        <w:t>.5 分包</w:t>
      </w:r>
      <w:bookmarkEnd w:id="117"/>
    </w:p>
    <w:bookmarkEnd w:id="118"/>
    <w:bookmarkEnd w:id="119"/>
    <w:bookmarkEnd w:id="120"/>
    <w:p w14:paraId="61998B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3.5.1 分包的一般约定</w:t>
      </w:r>
    </w:p>
    <w:p w14:paraId="60DC5336">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不得将其承包的全部工程转包给第三人，或将其承包的全部工程肢解后以分包的名义转包给第三人。承包人不得将工程主体结构、关键性工作及专用合同条款中禁止分包的专业工程分包给第三人，主体结构、关键性工作的范围由合同当事人按照法律规定在专用合同条款中予以明确。</w:t>
      </w:r>
    </w:p>
    <w:p w14:paraId="3693CA77">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承包人不得以劳务分包的名义转包或违法分包工程。</w:t>
      </w:r>
    </w:p>
    <w:p w14:paraId="4EEB6CF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3.5.2 分包的确定</w:t>
      </w:r>
    </w:p>
    <w:p w14:paraId="34DEB4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承包人应按专用合同条款的约定进行分包，确定分包人。已标价工程量清单或预算书中给定暂估价的专业工程，按照第10.7款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暂估价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分包人。按照合同约定进行分包的，承包人应确保分包人具有相应的资质和能力。工程分包不减轻或免除承包人的责任和义务，承包人和分包人就分包工程向发包人承担连带责任。除合同另有约定外，承包人应在分包合同签订后7天内向发包人和监理人提交分包合同副本。</w:t>
      </w:r>
    </w:p>
    <w:p w14:paraId="4262521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3.5.3 分包管理</w:t>
      </w:r>
    </w:p>
    <w:p w14:paraId="6C5B961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承包人应向监理人提交分包人的主要施工管理人员表，并对分包人的施工人员进行实名制管理，包括但不限于进出场管理、登记造册以及各种证照的办理。</w:t>
      </w:r>
    </w:p>
    <w:p w14:paraId="764F296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3.5.4 分包合同价款</w:t>
      </w:r>
    </w:p>
    <w:p w14:paraId="2A881A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（1）除本项第（2）目约定的情况或专用合同条款另有约定外，分包合同价款由承包人与分包人结算，未经承包人同意，发包人不得向分包人支付分包工程价款；</w:t>
      </w:r>
    </w:p>
    <w:p w14:paraId="5282AD5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（2）生效法律文书要求发包人向分包人支付分包合同价款的，发包人有权从应付承包人工程款中扣除该部分款项。</w:t>
      </w:r>
    </w:p>
    <w:p w14:paraId="7F0AACC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3.5.5 分包合同权益的转让</w:t>
      </w:r>
    </w:p>
    <w:p w14:paraId="7C3C5D2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分包人在分包合同项下的义务持续到缺陷责任期届满以后的，发包人有权在缺陷责任期届满前，要求承包人将其在分包合同项下的权益转让给发包人，承包人应当转让。除转让合同另有约定外，转让合同生效后，由分包人向发包人履行义务。</w:t>
      </w:r>
      <w:bookmarkStart w:id="121" w:name="_Toc351203524"/>
    </w:p>
    <w:p w14:paraId="0790E480">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3.6 工程照管与成品、半成品保护</w:t>
      </w:r>
      <w:bookmarkEnd w:id="121"/>
    </w:p>
    <w:p w14:paraId="660326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（1）除专用合同条款另有约定外，自发包人向承包人移交施工现场之日起，承包人应负责照管工程及工程相关的材料、工程设备，直到颁发工程接收证书之日止。</w:t>
      </w:r>
    </w:p>
    <w:p w14:paraId="269E76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2</w:t>
      </w:r>
      <w:r>
        <w:rPr>
          <w:rFonts w:ascii="Times New Roman" w:hAnsi="Times New Roman" w:eastAsia="仿宋_GB2312"/>
          <w:color w:val="000000"/>
          <w:kern w:val="0"/>
          <w:sz w:val="30"/>
          <w:szCs w:val="32"/>
        </w:rPr>
        <w:t>）在承包人负责照管期间，因承包人原因造成工程、材料、工程设备损坏的，由承包人负责修复或更换，并承担由此增加的费用和（或）延误的工期。</w:t>
      </w:r>
    </w:p>
    <w:p w14:paraId="1D4300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3</w:t>
      </w:r>
      <w:r>
        <w:rPr>
          <w:rFonts w:ascii="Times New Roman" w:hAnsi="Times New Roman" w:eastAsia="仿宋_GB2312"/>
          <w:color w:val="000000"/>
          <w:kern w:val="0"/>
          <w:sz w:val="30"/>
          <w:szCs w:val="32"/>
        </w:rPr>
        <w:t>）对合同内分期完成的成品和半成品，在工程接收证书颁发前，由承包人承担保护责任。因承包人原因造成成品或半成品损坏的，由承包人负责修复或更换，并承担由此增加的费用和（或）延误的工期。</w:t>
      </w:r>
    </w:p>
    <w:p w14:paraId="2107CD52">
      <w:pPr>
        <w:pStyle w:val="6"/>
        <w:spacing w:before="120" w:after="120" w:line="360" w:lineRule="auto"/>
        <w:ind w:firstLine="600" w:firstLineChars="200"/>
        <w:rPr>
          <w:rFonts w:ascii="Times New Roman" w:hAnsi="Times New Roman" w:eastAsia="黑体"/>
          <w:b w:val="0"/>
          <w:color w:val="000000"/>
          <w:sz w:val="30"/>
          <w:szCs w:val="32"/>
        </w:rPr>
      </w:pPr>
      <w:bookmarkStart w:id="122" w:name="_Toc351203525"/>
      <w:r>
        <w:rPr>
          <w:rFonts w:ascii="Times New Roman" w:hAnsi="Times New Roman" w:eastAsia="黑体"/>
          <w:b w:val="0"/>
          <w:color w:val="000000"/>
          <w:sz w:val="30"/>
          <w:szCs w:val="32"/>
        </w:rPr>
        <w:t>3</w:t>
      </w:r>
      <w:bookmarkStart w:id="123" w:name="_Toc296346553"/>
      <w:bookmarkStart w:id="124" w:name="_Toc296503052"/>
      <w:bookmarkStart w:id="125" w:name="_Toc337558752"/>
      <w:r>
        <w:rPr>
          <w:rFonts w:ascii="Times New Roman" w:hAnsi="Times New Roman" w:eastAsia="黑体"/>
          <w:b w:val="0"/>
          <w:color w:val="000000"/>
          <w:sz w:val="30"/>
          <w:szCs w:val="32"/>
        </w:rPr>
        <w:t>.7 履约担保</w:t>
      </w:r>
      <w:bookmarkEnd w:id="122"/>
    </w:p>
    <w:bookmarkEnd w:id="123"/>
    <w:bookmarkEnd w:id="124"/>
    <w:bookmarkEnd w:id="125"/>
    <w:p w14:paraId="41D97B6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发包人需要承包人提供履约担保的，由合同当事人在专用合同条款中约定履约担保的方式、金额及期限等。</w:t>
      </w:r>
      <w:r>
        <w:rPr>
          <w:rFonts w:ascii="Times New Roman" w:hAnsi="Times New Roman" w:eastAsia="仿宋_GB2312"/>
          <w:color w:val="000000"/>
          <w:kern w:val="0"/>
          <w:sz w:val="30"/>
          <w:szCs w:val="32"/>
        </w:rPr>
        <w:t>履约担保可以采用银行保函或担保公司担保等形式，具体由合同当事人在专用合同条款中约定。</w:t>
      </w:r>
    </w:p>
    <w:p w14:paraId="51682B2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因承包人原因导致工期延长的，继续提供履约担保所增加的费用由承包人承担；非因承包人原因导致工期延长的，继续提供履约担保所增加的费用由发包人承担。</w:t>
      </w:r>
    </w:p>
    <w:p w14:paraId="506ADA92">
      <w:pPr>
        <w:pStyle w:val="6"/>
        <w:spacing w:before="120" w:after="120" w:line="360" w:lineRule="auto"/>
        <w:ind w:firstLine="600" w:firstLineChars="200"/>
        <w:rPr>
          <w:rFonts w:ascii="Times New Roman" w:hAnsi="Times New Roman" w:eastAsia="黑体"/>
          <w:b w:val="0"/>
          <w:color w:val="000000"/>
          <w:sz w:val="30"/>
          <w:szCs w:val="32"/>
        </w:rPr>
      </w:pPr>
      <w:bookmarkStart w:id="126" w:name="_Toc351203526"/>
      <w:r>
        <w:rPr>
          <w:rFonts w:ascii="Times New Roman" w:hAnsi="Times New Roman" w:eastAsia="黑体"/>
          <w:b w:val="0"/>
          <w:color w:val="000000"/>
          <w:sz w:val="30"/>
          <w:szCs w:val="32"/>
        </w:rPr>
        <w:t>3.8 联合体</w:t>
      </w:r>
      <w:bookmarkEnd w:id="126"/>
    </w:p>
    <w:p w14:paraId="06B76F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3.8.1 联合体各方应共同与发包人签订合同协议书。联合体各方应为履行合同</w:t>
      </w:r>
      <w:r>
        <w:rPr>
          <w:rFonts w:hint="eastAsia" w:ascii="Times New Roman" w:hAnsi="Times New Roman" w:eastAsia="仿宋_GB2312"/>
          <w:color w:val="000000"/>
          <w:kern w:val="0"/>
          <w:sz w:val="30"/>
          <w:szCs w:val="32"/>
        </w:rPr>
        <w:t>向发包人</w:t>
      </w:r>
      <w:r>
        <w:rPr>
          <w:rFonts w:ascii="Times New Roman" w:hAnsi="Times New Roman" w:eastAsia="仿宋_GB2312"/>
          <w:color w:val="000000"/>
          <w:kern w:val="0"/>
          <w:sz w:val="30"/>
          <w:szCs w:val="32"/>
        </w:rPr>
        <w:t>承担连带责任。</w:t>
      </w:r>
    </w:p>
    <w:p w14:paraId="3956E8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3.8.2 联合体协议经发包人确认后作为合同附件。在履行合同过程中，未经发包人同意，不得修改联合体协议。</w:t>
      </w:r>
    </w:p>
    <w:p w14:paraId="2544BF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3.8.3 联合体牵头人负责与发包人和监理人联系，并接受指示，负责组织联合体各成员全面履行合同。</w:t>
      </w:r>
    </w:p>
    <w:p w14:paraId="5D97E519">
      <w:pPr>
        <w:pStyle w:val="5"/>
        <w:spacing w:before="120" w:after="120" w:line="360" w:lineRule="auto"/>
        <w:rPr>
          <w:rFonts w:ascii="Times New Roman" w:hAnsi="Times New Roman" w:eastAsia="黑体"/>
          <w:b w:val="0"/>
          <w:color w:val="000000"/>
          <w:sz w:val="32"/>
          <w:szCs w:val="32"/>
        </w:rPr>
      </w:pPr>
      <w:bookmarkStart w:id="127" w:name="_Toc351203527"/>
      <w:r>
        <w:rPr>
          <w:rFonts w:ascii="Times New Roman" w:hAnsi="Times New Roman" w:eastAsia="黑体"/>
          <w:b w:val="0"/>
          <w:color w:val="000000"/>
          <w:sz w:val="32"/>
          <w:szCs w:val="32"/>
        </w:rPr>
        <w:t>4</w:t>
      </w:r>
      <w:bookmarkStart w:id="128" w:name="_Toc296503053"/>
      <w:bookmarkStart w:id="129" w:name="_Toc296346554"/>
      <w:bookmarkStart w:id="130" w:name="_Toc337558753"/>
      <w:r>
        <w:rPr>
          <w:rFonts w:ascii="Times New Roman" w:hAnsi="Times New Roman" w:eastAsia="黑体"/>
          <w:b w:val="0"/>
          <w:color w:val="000000"/>
          <w:sz w:val="32"/>
          <w:szCs w:val="32"/>
        </w:rPr>
        <w:t>. 监</w:t>
      </w:r>
      <w:bookmarkEnd w:id="128"/>
      <w:bookmarkEnd w:id="129"/>
      <w:r>
        <w:rPr>
          <w:rFonts w:ascii="Times New Roman" w:hAnsi="Times New Roman" w:eastAsia="黑体"/>
          <w:b w:val="0"/>
          <w:color w:val="000000"/>
          <w:sz w:val="32"/>
          <w:szCs w:val="32"/>
        </w:rPr>
        <w:t>理人</w:t>
      </w:r>
      <w:bookmarkEnd w:id="127"/>
    </w:p>
    <w:bookmarkEnd w:id="130"/>
    <w:p w14:paraId="414FE9E9">
      <w:pPr>
        <w:pStyle w:val="6"/>
        <w:spacing w:before="120" w:after="120" w:line="360" w:lineRule="auto"/>
        <w:ind w:firstLine="600" w:firstLineChars="200"/>
        <w:rPr>
          <w:rFonts w:ascii="Times New Roman" w:hAnsi="Times New Roman" w:eastAsia="黑体"/>
          <w:b w:val="0"/>
          <w:color w:val="000000"/>
          <w:sz w:val="30"/>
          <w:szCs w:val="32"/>
        </w:rPr>
      </w:pPr>
      <w:bookmarkStart w:id="131" w:name="_Toc351203528"/>
      <w:r>
        <w:rPr>
          <w:rFonts w:ascii="Times New Roman" w:hAnsi="Times New Roman" w:eastAsia="黑体"/>
          <w:b w:val="0"/>
          <w:color w:val="000000"/>
          <w:sz w:val="30"/>
          <w:szCs w:val="32"/>
        </w:rPr>
        <w:t>4</w:t>
      </w:r>
      <w:bookmarkStart w:id="132" w:name="_Toc337558754"/>
      <w:bookmarkStart w:id="133" w:name="_Toc296503054"/>
      <w:bookmarkStart w:id="134" w:name="_Toc296346555"/>
      <w:r>
        <w:rPr>
          <w:rFonts w:ascii="Times New Roman" w:hAnsi="Times New Roman" w:eastAsia="黑体"/>
          <w:b w:val="0"/>
          <w:color w:val="000000"/>
          <w:sz w:val="30"/>
          <w:szCs w:val="32"/>
        </w:rPr>
        <w:t>.1监理人的一般规定</w:t>
      </w:r>
      <w:bookmarkEnd w:id="131"/>
    </w:p>
    <w:bookmarkEnd w:id="132"/>
    <w:bookmarkEnd w:id="133"/>
    <w:bookmarkEnd w:id="134"/>
    <w:p w14:paraId="2248A4C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实行监理的，发包人和承包人应在专用合同条款中明确监理人的监理内容及监理权限等事项。监理人应当根据发包人授权及法律规定，代表发包人对工程施工相关事项进行检查、查验、审核、验收，并签发相关指示，但监理人无权修改合同，且无权减轻或免除合同约定的承包人的任何责任与义务。</w:t>
      </w:r>
    </w:p>
    <w:p w14:paraId="696615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除专用合同条款另有约定外，监理人在施工现场的办公场所、生活场所由承包人提供，所发生的费用由发包人承担。</w:t>
      </w:r>
    </w:p>
    <w:p w14:paraId="6F8A03F1">
      <w:pPr>
        <w:pStyle w:val="6"/>
        <w:spacing w:before="120" w:after="120" w:line="360" w:lineRule="auto"/>
        <w:ind w:firstLine="600" w:firstLineChars="200"/>
        <w:rPr>
          <w:rFonts w:ascii="Times New Roman" w:hAnsi="Times New Roman" w:eastAsia="黑体"/>
          <w:b w:val="0"/>
          <w:color w:val="000000"/>
          <w:sz w:val="30"/>
          <w:szCs w:val="32"/>
        </w:rPr>
      </w:pPr>
      <w:bookmarkStart w:id="135" w:name="_Toc351203529"/>
      <w:r>
        <w:rPr>
          <w:rFonts w:ascii="Times New Roman" w:hAnsi="Times New Roman" w:eastAsia="黑体"/>
          <w:b w:val="0"/>
          <w:color w:val="000000"/>
          <w:sz w:val="30"/>
          <w:szCs w:val="32"/>
        </w:rPr>
        <w:t>4</w:t>
      </w:r>
      <w:bookmarkStart w:id="136" w:name="_Toc337558755"/>
      <w:r>
        <w:rPr>
          <w:rFonts w:ascii="Times New Roman" w:hAnsi="Times New Roman" w:eastAsia="黑体"/>
          <w:b w:val="0"/>
          <w:color w:val="000000"/>
          <w:sz w:val="30"/>
          <w:szCs w:val="32"/>
        </w:rPr>
        <w:t>.2监理人员</w:t>
      </w:r>
      <w:bookmarkEnd w:id="135"/>
    </w:p>
    <w:bookmarkEnd w:id="136"/>
    <w:p w14:paraId="17C1E2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授予监理人对工程实施监理的权利由监理人派驻施工现场的监理人员行使，监理人员包括总监理工程师及监理工程师。监理人应将授权的总监理工程师和监理工程师的姓名及授权范围以书面形式提前通知承包人。更换总监理工程师的，监理人应提前7天书面通知承包人；更换其他监理人员，监理人应提前48小时书面通知承包人。</w:t>
      </w:r>
    </w:p>
    <w:p w14:paraId="0624D885">
      <w:pPr>
        <w:pStyle w:val="6"/>
        <w:spacing w:before="120" w:after="120" w:line="360" w:lineRule="auto"/>
        <w:ind w:firstLine="600" w:firstLineChars="200"/>
        <w:rPr>
          <w:rFonts w:ascii="Times New Roman" w:hAnsi="Times New Roman" w:eastAsia="黑体"/>
          <w:b w:val="0"/>
          <w:color w:val="000000"/>
          <w:sz w:val="30"/>
          <w:szCs w:val="32"/>
        </w:rPr>
      </w:pPr>
      <w:bookmarkStart w:id="137" w:name="_Toc351203530"/>
      <w:r>
        <w:rPr>
          <w:rFonts w:ascii="Times New Roman" w:hAnsi="Times New Roman" w:eastAsia="黑体"/>
          <w:b w:val="0"/>
          <w:color w:val="000000"/>
          <w:sz w:val="30"/>
          <w:szCs w:val="32"/>
        </w:rPr>
        <w:t>4</w:t>
      </w:r>
      <w:bookmarkStart w:id="138" w:name="_Toc296346556"/>
      <w:bookmarkStart w:id="139" w:name="_Toc296503055"/>
      <w:bookmarkStart w:id="140" w:name="_Toc337558756"/>
      <w:r>
        <w:rPr>
          <w:rFonts w:ascii="Times New Roman" w:hAnsi="Times New Roman" w:eastAsia="黑体"/>
          <w:b w:val="0"/>
          <w:color w:val="000000"/>
          <w:sz w:val="30"/>
          <w:szCs w:val="32"/>
        </w:rPr>
        <w:t>.3</w:t>
      </w:r>
      <w:bookmarkEnd w:id="138"/>
      <w:bookmarkEnd w:id="139"/>
      <w:r>
        <w:rPr>
          <w:rFonts w:ascii="Times New Roman" w:hAnsi="Times New Roman" w:eastAsia="黑体"/>
          <w:b w:val="0"/>
          <w:color w:val="000000"/>
          <w:sz w:val="30"/>
          <w:szCs w:val="32"/>
        </w:rPr>
        <w:t>监理人的指</w:t>
      </w:r>
      <w:bookmarkEnd w:id="140"/>
      <w:r>
        <w:rPr>
          <w:rFonts w:ascii="Times New Roman" w:hAnsi="Times New Roman" w:eastAsia="黑体"/>
          <w:b w:val="0"/>
          <w:color w:val="000000"/>
          <w:sz w:val="30"/>
          <w:szCs w:val="32"/>
        </w:rPr>
        <w:t>示</w:t>
      </w:r>
      <w:bookmarkEnd w:id="137"/>
    </w:p>
    <w:p w14:paraId="1F24F81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照发包人的授权发出监理指示。监理人的指示应采用书面形式，并经其授权的监理人员签字。紧急情况下，为了保证施工人员的安全或避免工程受损，监理人员可以口头形式发出指示，该指示与书面形式的指示具有同等法律效力，但必须在发出口头指示后24小时内补发书面监理指示，补发的书面监理指示应与口头指示一致。</w:t>
      </w:r>
    </w:p>
    <w:p w14:paraId="61185D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监理人发出的指示应送达承包人项目经理或经项目经理授权接收的人员。因监理人未能按合同约定发出指示、指示延误或发出了错误指示而导致承包人费用增加和（或）工期延误的，由发包人承担</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责任。除专用合同条款另有约定外，总监理工程师不应将第4.4款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约定应由总监理工程师作出确定的权力授权或委托给其他监理人员。</w:t>
      </w:r>
    </w:p>
    <w:p w14:paraId="1362D0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承包人对监理人发出的指示有疑问的，应向监理人提出书面异议，监理人应在48小时内对该指示予以确认、更改或撤销，监理人逾期未回复的，承包人有权拒绝执行上述指示。</w:t>
      </w:r>
    </w:p>
    <w:p w14:paraId="54EEAF8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监理人对承包人的任何工作、工程或其采用的材料和工程设备未在约定的或合理期限内提出意见的，视为批准，但不免除或减轻承包人对该工作、工程、材料、工程设备等应承担的责任和义务。</w:t>
      </w:r>
    </w:p>
    <w:p w14:paraId="5658B8D8">
      <w:pPr>
        <w:pStyle w:val="5"/>
        <w:spacing w:before="120" w:after="120" w:line="360" w:lineRule="auto"/>
        <w:ind w:firstLine="600" w:firstLineChars="200"/>
        <w:rPr>
          <w:rFonts w:hint="eastAsia" w:ascii="Times New Roman" w:hAnsi="Times New Roman" w:eastAsia="黑体"/>
          <w:b w:val="0"/>
          <w:color w:val="000000"/>
          <w:sz w:val="32"/>
          <w:szCs w:val="32"/>
        </w:rPr>
      </w:pPr>
      <w:bookmarkStart w:id="141" w:name="_Toc351203531"/>
      <w:r>
        <w:rPr>
          <w:rFonts w:ascii="Times New Roman" w:hAnsi="Times New Roman" w:eastAsia="黑体"/>
          <w:b w:val="0"/>
          <w:color w:val="000000"/>
          <w:sz w:val="30"/>
          <w:szCs w:val="32"/>
        </w:rPr>
        <w:t>4</w:t>
      </w:r>
      <w:bookmarkStart w:id="142" w:name="_Toc296346558"/>
      <w:bookmarkStart w:id="143" w:name="_Toc296503057"/>
      <w:bookmarkStart w:id="144" w:name="_Toc337558757"/>
      <w:r>
        <w:rPr>
          <w:rFonts w:ascii="Times New Roman" w:hAnsi="Times New Roman" w:eastAsia="黑体"/>
          <w:b w:val="0"/>
          <w:color w:val="000000"/>
          <w:sz w:val="30"/>
          <w:szCs w:val="32"/>
        </w:rPr>
        <w:t>.4 商定或确定</w:t>
      </w:r>
      <w:bookmarkEnd w:id="141"/>
    </w:p>
    <w:bookmarkEnd w:id="142"/>
    <w:bookmarkEnd w:id="143"/>
    <w:bookmarkEnd w:id="144"/>
    <w:p w14:paraId="5F66BA9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w:t>
      </w:r>
      <w:r>
        <w:rPr>
          <w:rFonts w:hint="eastAsia" w:ascii="Times New Roman" w:hAnsi="Times New Roman" w:eastAsia="仿宋_GB2312"/>
          <w:color w:val="000000"/>
          <w:kern w:val="0"/>
          <w:sz w:val="30"/>
          <w:szCs w:val="32"/>
        </w:rPr>
        <w:t>当事人</w:t>
      </w:r>
      <w:r>
        <w:rPr>
          <w:rFonts w:ascii="Times New Roman" w:hAnsi="Times New Roman" w:eastAsia="仿宋_GB2312"/>
          <w:color w:val="000000"/>
          <w:kern w:val="0"/>
          <w:sz w:val="30"/>
          <w:szCs w:val="32"/>
        </w:rPr>
        <w:t>进行</w:t>
      </w:r>
      <w:r>
        <w:rPr>
          <w:rFonts w:hint="eastAsia" w:ascii="Times New Roman" w:hAnsi="Times New Roman" w:eastAsia="仿宋_GB2312"/>
          <w:color w:val="000000"/>
          <w:kern w:val="0"/>
          <w:sz w:val="30"/>
          <w:szCs w:val="32"/>
        </w:rPr>
        <w:t>商定</w:t>
      </w:r>
      <w:r>
        <w:rPr>
          <w:rFonts w:ascii="Times New Roman" w:hAnsi="Times New Roman" w:eastAsia="仿宋_GB2312"/>
          <w:color w:val="000000"/>
          <w:kern w:val="0"/>
          <w:sz w:val="30"/>
          <w:szCs w:val="32"/>
        </w:rPr>
        <w:t>或确定时，总监理工程师应当会同合同当事人尽量通过协商达成一致，不能达成一致的，由总监理工程师按照合同约定审慎做出公正的确定。</w:t>
      </w:r>
    </w:p>
    <w:p w14:paraId="1053E7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总监理工程师应将确定以书面形式通知发包人和承包人，并附详细依据。合同当事人对总监理工程师的确定没有异议的，按照总监理工程师的确定执行。任何一方合同当事人有异议，按照第20条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约定处理。争议解决前，合同当事人暂按总监理工程师的确定执行；争议解决后，争议解决的结果与总监理工程师的确定不一致的，按照争议解决的结果执行，由此造成的损失由责任人承担。</w:t>
      </w:r>
    </w:p>
    <w:p w14:paraId="71DA0BB3">
      <w:pPr>
        <w:pStyle w:val="5"/>
        <w:spacing w:before="120" w:after="120" w:line="360" w:lineRule="auto"/>
        <w:rPr>
          <w:rFonts w:ascii="Times New Roman" w:hAnsi="Times New Roman" w:eastAsia="黑体"/>
          <w:b w:val="0"/>
          <w:color w:val="000000"/>
          <w:sz w:val="30"/>
          <w:szCs w:val="32"/>
        </w:rPr>
      </w:pPr>
      <w:bookmarkStart w:id="145" w:name="_Toc351203532"/>
      <w:r>
        <w:rPr>
          <w:rFonts w:ascii="Times New Roman" w:hAnsi="Times New Roman" w:eastAsia="黑体"/>
          <w:b w:val="0"/>
          <w:color w:val="000000"/>
          <w:sz w:val="32"/>
          <w:szCs w:val="32"/>
        </w:rPr>
        <w:t>5</w:t>
      </w:r>
      <w:bookmarkStart w:id="146" w:name="_Toc337558758"/>
      <w:r>
        <w:rPr>
          <w:rFonts w:ascii="Times New Roman" w:hAnsi="Times New Roman" w:eastAsia="黑体"/>
          <w:b w:val="0"/>
          <w:color w:val="000000"/>
          <w:sz w:val="32"/>
          <w:szCs w:val="32"/>
        </w:rPr>
        <w:t>. 工程质量</w:t>
      </w:r>
      <w:bookmarkEnd w:id="145"/>
    </w:p>
    <w:bookmarkEnd w:id="146"/>
    <w:p w14:paraId="5A2E579A">
      <w:pPr>
        <w:pStyle w:val="6"/>
        <w:spacing w:before="120" w:after="120" w:line="360" w:lineRule="auto"/>
        <w:ind w:firstLine="600" w:firstLineChars="200"/>
        <w:rPr>
          <w:rFonts w:ascii="Times New Roman" w:hAnsi="Times New Roman" w:eastAsia="黑体"/>
          <w:b w:val="0"/>
          <w:color w:val="000000"/>
          <w:sz w:val="30"/>
          <w:szCs w:val="32"/>
        </w:rPr>
      </w:pPr>
      <w:bookmarkStart w:id="147" w:name="_Toc351203533"/>
      <w:r>
        <w:rPr>
          <w:rFonts w:ascii="Times New Roman" w:hAnsi="Times New Roman" w:eastAsia="黑体"/>
          <w:b w:val="0"/>
          <w:color w:val="000000"/>
          <w:sz w:val="30"/>
          <w:szCs w:val="32"/>
        </w:rPr>
        <w:t>5</w:t>
      </w:r>
      <w:bookmarkStart w:id="148" w:name="_Toc337558759"/>
      <w:r>
        <w:rPr>
          <w:rFonts w:ascii="Times New Roman" w:hAnsi="Times New Roman" w:eastAsia="黑体"/>
          <w:b w:val="0"/>
          <w:color w:val="000000"/>
          <w:sz w:val="30"/>
          <w:szCs w:val="32"/>
        </w:rPr>
        <w:t>.1质量要求</w:t>
      </w:r>
      <w:bookmarkEnd w:id="147"/>
    </w:p>
    <w:bookmarkEnd w:id="148"/>
    <w:p w14:paraId="42B141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5.1.1 工程质量标准必须符合现行国家有关工程施工质量验收规范和标准的要求。有关工程质量的特殊标准或要求由合同当事人在专用合同条款中约定。</w:t>
      </w:r>
    </w:p>
    <w:p w14:paraId="2726D0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5.1.2 因发包人原因造成工程质量未达到合同约定标准的，由发包人承担由此增加的费用和（或）延误的工期，并支付承包人合理的利润。</w:t>
      </w:r>
    </w:p>
    <w:p w14:paraId="573E6E4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5.1.3 因承包人原因造成工程质量未达到合同约定标准的，发包人有权要求承包人返工直至工程质量达到合同约定的标准为止，并由承包人承担由此增加的费用和（或）延误的工期。</w:t>
      </w:r>
    </w:p>
    <w:p w14:paraId="2ABC9F0D">
      <w:pPr>
        <w:pStyle w:val="6"/>
        <w:spacing w:before="120" w:after="120" w:line="360" w:lineRule="auto"/>
        <w:ind w:firstLine="600" w:firstLineChars="200"/>
        <w:rPr>
          <w:rFonts w:ascii="Times New Roman" w:hAnsi="Times New Roman" w:eastAsia="黑体"/>
          <w:b w:val="0"/>
          <w:color w:val="000000"/>
          <w:sz w:val="30"/>
          <w:szCs w:val="32"/>
        </w:rPr>
      </w:pPr>
      <w:bookmarkStart w:id="149" w:name="_Toc351203534"/>
      <w:r>
        <w:rPr>
          <w:rFonts w:ascii="Times New Roman" w:hAnsi="Times New Roman" w:eastAsia="黑体"/>
          <w:b w:val="0"/>
          <w:color w:val="000000"/>
          <w:sz w:val="30"/>
          <w:szCs w:val="32"/>
        </w:rPr>
        <w:t>5</w:t>
      </w:r>
      <w:bookmarkStart w:id="150" w:name="_Toc337558760"/>
      <w:r>
        <w:rPr>
          <w:rFonts w:ascii="Times New Roman" w:hAnsi="Times New Roman" w:eastAsia="黑体"/>
          <w:b w:val="0"/>
          <w:color w:val="000000"/>
          <w:sz w:val="30"/>
          <w:szCs w:val="32"/>
        </w:rPr>
        <w:t>.2质量保证措施</w:t>
      </w:r>
      <w:bookmarkEnd w:id="149"/>
    </w:p>
    <w:bookmarkEnd w:id="150"/>
    <w:p w14:paraId="76D4617B">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5.2.1 发包人的质量管理</w:t>
      </w:r>
    </w:p>
    <w:p w14:paraId="79A3103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发包人应按照法律规定及合同约定完成与工程质量有关的各项工作。</w:t>
      </w:r>
    </w:p>
    <w:p w14:paraId="494DCB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5.2.2 承包人的质量管理</w:t>
      </w:r>
    </w:p>
    <w:p w14:paraId="0F5F894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约定向发包人和监理人提交工程质量保证体系及措施文件，建立完善的质量检查制度，并提交相应的工程质量文件。对于发包人和监理人违反法律规定和合同约定的错误指示，承包人有权拒绝实施。</w:t>
      </w:r>
    </w:p>
    <w:p w14:paraId="4EB955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承包人应对施工人员进行质量教育和技术培训，定期考核施工人员的劳动技能，严格执行施工规范和操作规程。</w:t>
      </w:r>
    </w:p>
    <w:p w14:paraId="2BC17E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和发包人的要求，对材料、工程设备以及工程的所有部位及其施工工艺进行全过程的质量检查和检验，并作详细记录，编制工程质量报表，报送监理人审查。此外，承包人还应按照法律规定和发包人的要求，进行施工现场取样试验、工程复核测量和设备性能检测，提供试验样品、提交试验报告和测量成果以及其他工作。</w:t>
      </w:r>
    </w:p>
    <w:p w14:paraId="18C257FF">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5.2.3 监理人的质量检查和检验</w:t>
      </w:r>
    </w:p>
    <w:p w14:paraId="42587B6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按照法律规定和发包人授权对工程的所有部位及其施工工艺、材料和工程设备进行检查和检验。承包人应为监理人的检查和检验提供方便，包括监理人到施工现场，或制造、加工地点，或合同约定的其他地方进行察看和查阅施工原始记录。监理人为此进行的检查和检验，不免除或减轻承包人按照合同约定应当承担的责任。</w:t>
      </w:r>
    </w:p>
    <w:p w14:paraId="27D96B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的检查和检验不应影响施工正常进行。监理人的检查和检验影响施工正常进行的，且经检查检验不合格的，影响正常施工的费用由承包人承担，工期不予顺延；经检查检验合格的，由此增加的费用和（或）延误的工期由发包人承担。</w:t>
      </w:r>
    </w:p>
    <w:p w14:paraId="5F9BE97F">
      <w:pPr>
        <w:pStyle w:val="6"/>
        <w:spacing w:before="120" w:after="120" w:line="360" w:lineRule="auto"/>
        <w:ind w:firstLine="600" w:firstLineChars="200"/>
        <w:rPr>
          <w:rFonts w:ascii="Times New Roman" w:hAnsi="Times New Roman" w:eastAsia="黑体"/>
          <w:b w:val="0"/>
          <w:color w:val="000000"/>
          <w:sz w:val="30"/>
          <w:szCs w:val="32"/>
        </w:rPr>
      </w:pPr>
      <w:bookmarkStart w:id="151" w:name="_Toc351203535"/>
      <w:r>
        <w:rPr>
          <w:rFonts w:ascii="Times New Roman" w:hAnsi="Times New Roman" w:eastAsia="黑体"/>
          <w:b w:val="0"/>
          <w:color w:val="000000"/>
          <w:sz w:val="30"/>
          <w:szCs w:val="32"/>
        </w:rPr>
        <w:t>5</w:t>
      </w:r>
      <w:bookmarkStart w:id="152" w:name="_Toc337558761"/>
      <w:r>
        <w:rPr>
          <w:rFonts w:ascii="Times New Roman" w:hAnsi="Times New Roman" w:eastAsia="黑体"/>
          <w:b w:val="0"/>
          <w:color w:val="000000"/>
          <w:sz w:val="30"/>
          <w:szCs w:val="32"/>
        </w:rPr>
        <w:t>.3 隐蔽工程检查</w:t>
      </w:r>
      <w:bookmarkEnd w:id="151"/>
    </w:p>
    <w:bookmarkEnd w:id="152"/>
    <w:p w14:paraId="45584AC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5.3.1承包人自检</w:t>
      </w:r>
    </w:p>
    <w:p w14:paraId="12C5D1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承包人应当对工程隐蔽部位进行自检，并经自检确认是否具备覆盖条件。</w:t>
      </w:r>
    </w:p>
    <w:p w14:paraId="4EBE1EA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5.3.2检查程序</w:t>
      </w:r>
    </w:p>
    <w:p w14:paraId="4CCE343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除专用合同条款另有约定外，工程隐蔽部位经承包人自检确认具备覆盖条件的，承包人应在</w:t>
      </w:r>
      <w:r>
        <w:rPr>
          <w:rFonts w:hint="eastAsia" w:ascii="Times New Roman" w:hAnsi="Times New Roman" w:eastAsia="仿宋_GB2312"/>
          <w:color w:val="000000"/>
          <w:kern w:val="0"/>
          <w:sz w:val="30"/>
          <w:szCs w:val="32"/>
        </w:rPr>
        <w:t>共同</w:t>
      </w:r>
      <w:r>
        <w:rPr>
          <w:rFonts w:ascii="Times New Roman" w:hAnsi="Times New Roman" w:eastAsia="仿宋_GB2312"/>
          <w:color w:val="000000"/>
          <w:kern w:val="0"/>
          <w:sz w:val="30"/>
          <w:szCs w:val="32"/>
        </w:rPr>
        <w:t>检查前48小时书面通知监理人检查，通知中应载明隐蔽检查的内容、时间和地点，并应附有自检记录和必要的检查资料。</w:t>
      </w:r>
    </w:p>
    <w:p w14:paraId="38A890F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按时到场并对隐蔽工程及其施工工艺、材料和工程设备进行检查。经监理人检查确认质量符合隐蔽要求，并在验收记录上签字后，承包人才能进行覆盖。经监理人检查质量不合格的，承包人应在监理人指示的时间内完成修复，并由监理人重新检查，由此增加的费用和（或）延误的工期由承包人承担。</w:t>
      </w:r>
    </w:p>
    <w:p w14:paraId="010B3A06">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不能按时进行检查的，应在检查前24小时向承包人提交书面延期要求，但延期不能超过48小时，由此导致工期延误的，工期应予以顺延。监理人未按时进行检查，也未提出延期要求的，视为隐蔽工程检查合格，承包人可自行完成覆盖工作，并作相应记录报送监理人，监理人应签字确认。监理人事后对检查记录有疑问的，可按第5.3.3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重新检查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的约定重新检查。</w:t>
      </w:r>
    </w:p>
    <w:p w14:paraId="6F5D27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5.3.3 重新检查</w:t>
      </w:r>
    </w:p>
    <w:p w14:paraId="33FC7F8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覆盖工程隐蔽部位后，发包人或监理人对质量有疑问的，可要求承包人对已覆盖的部位进行钻孔探测或揭开重新检查，承包人应遵照执行，并在检查后重新覆盖恢复原状。经检查证明工程质量符合合同要求的，由发包人承担由此增加的费用和（或）延误的工期，并支付承包人合理的利润；经检查证明工程质量不符合合同要求的，由此增加的费用和（或）延误的工期由承包人承担。</w:t>
      </w:r>
    </w:p>
    <w:p w14:paraId="0C80BB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5.3.4 承包人私自覆盖</w:t>
      </w:r>
    </w:p>
    <w:p w14:paraId="60779B2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承包人未通知监理人到场检查，私自将工程隐蔽部位覆盖的，监理人有权指示承包人钻孔探测或揭开检查，无论工程隐蔽部位质量是否合格，由此增加的费用和（或）延误的工期均由承包人承担。</w:t>
      </w:r>
    </w:p>
    <w:p w14:paraId="3E826860">
      <w:pPr>
        <w:pStyle w:val="6"/>
        <w:spacing w:before="120" w:after="120" w:line="360" w:lineRule="auto"/>
        <w:ind w:firstLine="600" w:firstLineChars="200"/>
        <w:rPr>
          <w:rFonts w:ascii="Times New Roman" w:hAnsi="Times New Roman" w:eastAsia="黑体"/>
          <w:b w:val="0"/>
          <w:color w:val="000000"/>
          <w:sz w:val="30"/>
          <w:szCs w:val="32"/>
        </w:rPr>
      </w:pPr>
      <w:bookmarkStart w:id="153" w:name="_Toc351203536"/>
      <w:r>
        <w:rPr>
          <w:rFonts w:ascii="Times New Roman" w:hAnsi="Times New Roman" w:eastAsia="黑体"/>
          <w:b w:val="0"/>
          <w:color w:val="000000"/>
          <w:sz w:val="30"/>
          <w:szCs w:val="32"/>
        </w:rPr>
        <w:t>5</w:t>
      </w:r>
      <w:bookmarkStart w:id="154" w:name="_Toc337558762"/>
      <w:r>
        <w:rPr>
          <w:rFonts w:ascii="Times New Roman" w:hAnsi="Times New Roman" w:eastAsia="黑体"/>
          <w:b w:val="0"/>
          <w:color w:val="000000"/>
          <w:sz w:val="30"/>
          <w:szCs w:val="32"/>
        </w:rPr>
        <w:t>.4不合格工程的处理</w:t>
      </w:r>
      <w:bookmarkEnd w:id="153"/>
    </w:p>
    <w:bookmarkEnd w:id="154"/>
    <w:p w14:paraId="2990E7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5.4.1 因承包人原因造成工程不合格的，发包人有权随时要求承包人采取补救措施，直至达到合同要求的质量标准，由此增加的费用和（或）延误的工期由承包人承担。无法补救的，按照第13.2.4项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拒绝接收全部或部分工程</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 xml:space="preserve">约定执行。 </w:t>
      </w:r>
    </w:p>
    <w:p w14:paraId="649674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5.4.2 因发包人原因造成工程不合格的，由此增加的费用和（或）延误的工期由发包人承担，并支付承包人合理的利润。</w:t>
      </w:r>
    </w:p>
    <w:p w14:paraId="40EDBC5C">
      <w:pPr>
        <w:pStyle w:val="6"/>
        <w:spacing w:before="120" w:after="120" w:line="360" w:lineRule="auto"/>
        <w:ind w:firstLine="600" w:firstLineChars="200"/>
        <w:rPr>
          <w:rFonts w:ascii="Times New Roman" w:hAnsi="Times New Roman" w:eastAsia="黑体"/>
          <w:b w:val="0"/>
          <w:color w:val="000000"/>
          <w:sz w:val="30"/>
          <w:szCs w:val="32"/>
        </w:rPr>
      </w:pPr>
      <w:bookmarkStart w:id="155" w:name="_Toc351203537"/>
      <w:r>
        <w:rPr>
          <w:rFonts w:ascii="Times New Roman" w:hAnsi="Times New Roman" w:eastAsia="黑体"/>
          <w:b w:val="0"/>
          <w:color w:val="000000"/>
          <w:sz w:val="30"/>
          <w:szCs w:val="32"/>
        </w:rPr>
        <w:t>5.5 质量争议检测</w:t>
      </w:r>
      <w:bookmarkEnd w:id="155"/>
    </w:p>
    <w:p w14:paraId="060971E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合同当事人对工程质量有争议的，由双方协商确定的工程质量检测机构鉴定，由此产生的费用及因此造成的损失，由责任方承担。</w:t>
      </w:r>
    </w:p>
    <w:p w14:paraId="02E1F4FA">
      <w:pPr>
        <w:autoSpaceDE w:val="0"/>
        <w:autoSpaceDN w:val="0"/>
        <w:adjustRightInd w:val="0"/>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合同当事人均有责任的，由双方根据其责任分别承担。合同当事人无法达成一致的，按照第4.4款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17C6511B">
      <w:pPr>
        <w:pStyle w:val="5"/>
        <w:spacing w:before="120" w:after="120" w:line="360" w:lineRule="auto"/>
        <w:rPr>
          <w:rFonts w:ascii="Times New Roman" w:hAnsi="Times New Roman" w:eastAsia="黑体"/>
          <w:b w:val="0"/>
          <w:color w:val="000000"/>
          <w:sz w:val="32"/>
          <w:szCs w:val="32"/>
        </w:rPr>
      </w:pPr>
      <w:bookmarkStart w:id="156" w:name="_Toc351203538"/>
      <w:r>
        <w:rPr>
          <w:rFonts w:ascii="Times New Roman" w:hAnsi="Times New Roman" w:eastAsia="黑体"/>
          <w:b w:val="0"/>
          <w:color w:val="000000"/>
          <w:sz w:val="32"/>
          <w:szCs w:val="32"/>
        </w:rPr>
        <w:t>6</w:t>
      </w:r>
      <w:bookmarkStart w:id="157" w:name="_Toc337558763"/>
      <w:r>
        <w:rPr>
          <w:rFonts w:ascii="Times New Roman" w:hAnsi="Times New Roman" w:eastAsia="黑体"/>
          <w:b w:val="0"/>
          <w:color w:val="000000"/>
          <w:sz w:val="32"/>
          <w:szCs w:val="32"/>
        </w:rPr>
        <w:t>. 安全文明施工与环境保护</w:t>
      </w:r>
      <w:bookmarkEnd w:id="156"/>
    </w:p>
    <w:bookmarkEnd w:id="157"/>
    <w:p w14:paraId="269995E2">
      <w:pPr>
        <w:pStyle w:val="6"/>
        <w:spacing w:before="120" w:after="120" w:line="360" w:lineRule="auto"/>
        <w:ind w:firstLine="600" w:firstLineChars="200"/>
        <w:rPr>
          <w:rFonts w:ascii="Times New Roman" w:hAnsi="Times New Roman" w:eastAsia="黑体"/>
          <w:b w:val="0"/>
          <w:color w:val="000000"/>
          <w:sz w:val="30"/>
          <w:szCs w:val="32"/>
        </w:rPr>
      </w:pPr>
      <w:bookmarkStart w:id="158" w:name="_Toc351203539"/>
      <w:r>
        <w:rPr>
          <w:rFonts w:ascii="Times New Roman" w:hAnsi="Times New Roman" w:eastAsia="黑体"/>
          <w:b w:val="0"/>
          <w:color w:val="000000"/>
          <w:sz w:val="30"/>
          <w:szCs w:val="32"/>
        </w:rPr>
        <w:t>6</w:t>
      </w:r>
      <w:bookmarkStart w:id="159" w:name="_Toc337558764"/>
      <w:r>
        <w:rPr>
          <w:rFonts w:ascii="Times New Roman" w:hAnsi="Times New Roman" w:eastAsia="黑体"/>
          <w:b w:val="0"/>
          <w:color w:val="000000"/>
          <w:sz w:val="30"/>
          <w:szCs w:val="32"/>
        </w:rPr>
        <w:t>.1安全文明施工</w:t>
      </w:r>
      <w:bookmarkEnd w:id="158"/>
    </w:p>
    <w:bookmarkEnd w:id="159"/>
    <w:p w14:paraId="281B61A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6.1.1安全生产要求</w:t>
      </w:r>
    </w:p>
    <w:p w14:paraId="7E684ED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合同当事人均应当遵守国家和工程所在地有关安全生产的要求，合同当事人有特别要求的，应在专用合同条款中明确施工项目安全生产标准化达标目标及相应事项。承包人有权拒绝发包人及监理人强令承包人违章作业、冒险施工的任何指示。</w:t>
      </w:r>
    </w:p>
    <w:p w14:paraId="1FFBB6A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在施工过程中，如遇到突发的地质变动、事先未知的地下施工障碍等影响施工安全的紧急情况，</w:t>
      </w:r>
      <w:r>
        <w:rPr>
          <w:rFonts w:hint="eastAsia" w:ascii="Times New Roman" w:hAnsi="Times New Roman" w:eastAsia="仿宋_GB2312"/>
          <w:color w:val="000000"/>
          <w:sz w:val="30"/>
          <w:szCs w:val="32"/>
        </w:rPr>
        <w:t>承包人应及时报告监理人和发包人，</w:t>
      </w:r>
      <w:r>
        <w:rPr>
          <w:rFonts w:ascii="Times New Roman" w:hAnsi="Times New Roman" w:eastAsia="仿宋_GB2312"/>
          <w:color w:val="000000"/>
          <w:sz w:val="30"/>
          <w:szCs w:val="32"/>
        </w:rPr>
        <w:t>发包人应当及时下令停工并报</w:t>
      </w:r>
      <w:r>
        <w:rPr>
          <w:rFonts w:ascii="Times New Roman" w:hAnsi="Times New Roman" w:eastAsia="仿宋_GB2312"/>
          <w:color w:val="000000"/>
          <w:kern w:val="0"/>
          <w:sz w:val="30"/>
          <w:szCs w:val="32"/>
        </w:rPr>
        <w:t>政府有关行政管理部门</w:t>
      </w:r>
      <w:r>
        <w:rPr>
          <w:rFonts w:ascii="Times New Roman" w:hAnsi="Times New Roman" w:eastAsia="仿宋_GB2312"/>
          <w:color w:val="000000"/>
          <w:sz w:val="30"/>
          <w:szCs w:val="32"/>
        </w:rPr>
        <w:t>采取应急措施。</w:t>
      </w:r>
    </w:p>
    <w:p w14:paraId="23D8F70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因安全生产需要暂停施工的，按照第7.8款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暂停施工</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的约定执行。</w:t>
      </w:r>
    </w:p>
    <w:p w14:paraId="755BBC6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6.1.2 安全生产保证措施</w:t>
      </w:r>
    </w:p>
    <w:p w14:paraId="76B5038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sz w:val="30"/>
          <w:szCs w:val="32"/>
        </w:rPr>
        <w:t>承包人应当按照有关</w:t>
      </w:r>
      <w:r>
        <w:rPr>
          <w:rFonts w:ascii="Times New Roman" w:hAnsi="Times New Roman" w:eastAsia="仿宋_GB2312"/>
          <w:color w:val="000000"/>
          <w:kern w:val="0"/>
          <w:sz w:val="30"/>
          <w:szCs w:val="32"/>
        </w:rPr>
        <w:t>规定编制安全技术措施或者专项施工方案，</w:t>
      </w:r>
      <w:r>
        <w:rPr>
          <w:rFonts w:ascii="Times New Roman" w:hAnsi="Times New Roman" w:eastAsia="仿宋_GB2312"/>
          <w:color w:val="000000"/>
          <w:sz w:val="30"/>
          <w:szCs w:val="32"/>
        </w:rPr>
        <w:t>建立安全生产责任制度、治安保卫制度及安全生产教育培训制度，并</w:t>
      </w:r>
      <w:r>
        <w:rPr>
          <w:rFonts w:ascii="Times New Roman" w:hAnsi="Times New Roman" w:eastAsia="仿宋_GB2312"/>
          <w:color w:val="000000"/>
          <w:kern w:val="0"/>
          <w:sz w:val="30"/>
          <w:szCs w:val="32"/>
        </w:rPr>
        <w:t>按安全生产法律规定及合同约定履行安全职责，</w:t>
      </w:r>
      <w:r>
        <w:rPr>
          <w:rFonts w:hint="eastAsia" w:ascii="Times New Roman" w:hAnsi="Times New Roman" w:eastAsia="仿宋_GB2312"/>
          <w:color w:val="000000"/>
          <w:kern w:val="0"/>
          <w:sz w:val="30"/>
          <w:szCs w:val="32"/>
        </w:rPr>
        <w:t>如实</w:t>
      </w:r>
      <w:r>
        <w:rPr>
          <w:rFonts w:ascii="Times New Roman" w:hAnsi="Times New Roman" w:eastAsia="仿宋_GB2312"/>
          <w:color w:val="000000"/>
          <w:sz w:val="30"/>
          <w:szCs w:val="32"/>
        </w:rPr>
        <w:t>编制工程安全生产的有关记录，</w:t>
      </w:r>
      <w:r>
        <w:rPr>
          <w:rFonts w:ascii="Times New Roman" w:hAnsi="Times New Roman" w:eastAsia="仿宋_GB2312"/>
          <w:color w:val="000000"/>
          <w:kern w:val="0"/>
          <w:sz w:val="30"/>
          <w:szCs w:val="32"/>
        </w:rPr>
        <w:t>接受发包人、监理人及政府安全监督部门的检查与监督。</w:t>
      </w:r>
    </w:p>
    <w:p w14:paraId="558A55BA">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6.1.3特别安全生产事项</w:t>
      </w:r>
    </w:p>
    <w:p w14:paraId="3AAEB49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承包人应按照法律规定进行施工，开工前做好安全技术交底工作，施工过程中做好各项安全防护措施。承包人为实施合同而雇用的特殊工种的人员应受过专门的培训并已取得政府有关管理机构颁发的上岗证书。</w:t>
      </w:r>
    </w:p>
    <w:p w14:paraId="07BB2E4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承包人在动力设备、输电线路、地下管道、密封防震车间、易燃易爆地段以及临街交通要道附近施工时，施工开始前应向发包人和监理人提出安全防护措施，经发包人认可后实施。 </w:t>
      </w:r>
    </w:p>
    <w:p w14:paraId="3A08BBE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实施爆破作业，在放射、毒害性环境中施工（含储存、运输、使用）及使用毒害性、腐蚀性物品施工时，承包人应在施工前7天以书面通知发包人和监理人，并报送相应的安全防护措施，经发包人认可后实施。</w:t>
      </w:r>
    </w:p>
    <w:p w14:paraId="2111894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需单独编制危险性较大分部分项专项工程施工方案的，及要求进行专家论证的超过一定规模的危险性较大的分部分项工程，承包人应及时编制和组织论证。</w:t>
      </w:r>
    </w:p>
    <w:p w14:paraId="63EA406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6.1.4 治安保卫</w:t>
      </w:r>
    </w:p>
    <w:p w14:paraId="2DD67EB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除专用合同条款另有约定外，发包人应与当地公安部门协商，在现场建立治安管理机构或联防组织，统一管理施工场地的治安保卫事项，履行合同工程的治安保卫职责。</w:t>
      </w:r>
    </w:p>
    <w:p w14:paraId="0465ACB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发包人和承包人除应协助现场治安管理机构或联防组织维护施工场地的社会治安外，还应做好包括生活区在内的各自管辖区的治安保卫工作。</w:t>
      </w:r>
    </w:p>
    <w:p w14:paraId="26BCD37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和承包人应在工程开工后7天内共同编制施工场地治安管理计划，并制定应对突发治安事件的紧急预案。在工程施工过程中，发生暴乱、爆炸等恐怖事件，以及群殴、械斗等群体性突发治安事件的，发包人和承包人应立即向当地政府报告。发包人和承包人应积极协助当地有关部门采取措施平息事态，防止事态扩大，尽量避免人员伤亡</w:t>
      </w:r>
      <w:r>
        <w:rPr>
          <w:rFonts w:hint="eastAsia" w:ascii="Times New Roman" w:hAnsi="Times New Roman" w:eastAsia="仿宋_GB2312"/>
          <w:color w:val="000000"/>
          <w:sz w:val="30"/>
          <w:szCs w:val="32"/>
        </w:rPr>
        <w:t>和</w:t>
      </w:r>
      <w:r>
        <w:rPr>
          <w:rFonts w:ascii="Times New Roman" w:hAnsi="Times New Roman" w:eastAsia="仿宋_GB2312"/>
          <w:color w:val="000000"/>
          <w:sz w:val="30"/>
          <w:szCs w:val="32"/>
        </w:rPr>
        <w:t>财产损失。</w:t>
      </w:r>
    </w:p>
    <w:p w14:paraId="4CF1C042">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6.1.5 文明施工</w:t>
      </w:r>
    </w:p>
    <w:p w14:paraId="629476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承包人在工程施工期间，应当采取措施保持施工现场平整，物料堆放整齐。工程所在地有关政府行政管理部门有特殊要求的，按照其要求执行。</w:t>
      </w:r>
      <w:r>
        <w:rPr>
          <w:rFonts w:hint="eastAsia" w:ascii="Times New Roman" w:hAnsi="Times New Roman" w:eastAsia="仿宋_GB2312"/>
          <w:color w:val="000000"/>
          <w:kern w:val="0"/>
          <w:sz w:val="30"/>
          <w:szCs w:val="32"/>
        </w:rPr>
        <w:t>合同当事人对文明施工有其他要求的，可以在专用合同条款中明确。</w:t>
      </w:r>
    </w:p>
    <w:p w14:paraId="0D3A22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之前，承包人应当从施工现场清除承包人的全部工程设备、多余材料、垃圾和各种临时工程，并保持施工现场清洁整齐。经发包人书面同意，承包人可在发包人指定的地点保留承包人履行保修期内的各项义务所需要的材料、施工设备和临时工程。</w:t>
      </w:r>
    </w:p>
    <w:p w14:paraId="6A48977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6.1.6 安全文明施工费</w:t>
      </w:r>
    </w:p>
    <w:p w14:paraId="0BB512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安全文明施工费由发包人承担，发包人不得以任何形式扣减该部分费用。因基准日期后合同所适用的法律或政府有关规定发生变化，增加的安全文明施工费由发包人承担。</w:t>
      </w:r>
    </w:p>
    <w:p w14:paraId="0971637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经发包人同意采取合同约定以外的安全措施所产生的费用，由发包人承担。未经发包人同意的，如果该措施避免了发包人的损失，则发包人在避免损失的额度内承担该措施费。如果该措施避免了承包人的损失，由承包人承担该措施费。</w:t>
      </w:r>
    </w:p>
    <w:p w14:paraId="3EF0E16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在开工后28天内预付安全文明施工费总额的50%，其余部分与进度款同期支付。发包人逾期支付安全文明施工费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280E64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对安全文明施工费应专款专用，承包人应在财务账目中单独列项备查，不得挪作他用，否则发包人有权责令其限期改正；逾期未改正的，可以责令其暂停施工，由此增加的费用和（或）延误的工期由承包人承担。</w:t>
      </w:r>
    </w:p>
    <w:p w14:paraId="6CAFF6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6.1.7 紧急情况</w:t>
      </w:r>
      <w:r>
        <w:rPr>
          <w:rFonts w:hint="eastAsia" w:ascii="Times New Roman" w:hAnsi="Times New Roman" w:eastAsia="仿宋_GB2312"/>
          <w:color w:val="000000"/>
          <w:kern w:val="0"/>
          <w:sz w:val="30"/>
          <w:szCs w:val="32"/>
        </w:rPr>
        <w:t>处理</w:t>
      </w:r>
    </w:p>
    <w:p w14:paraId="4EE1D85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实施期间或缺陷责任期内发生危及工程安全的事件，监理人通知承包人进行抢救，承包人声明无能力或不愿立即执行的，发包人有权雇佣其他人员进行抢救。此类抢救按合同约定属于承包人义务的，由此增加的费用和（或）延误的工期由承包人承担。</w:t>
      </w:r>
    </w:p>
    <w:p w14:paraId="13E2D1A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6.1.8 事故处理</w:t>
      </w:r>
    </w:p>
    <w:p w14:paraId="32A63B2D">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施工过程中发生事故的，承包人应立即通知监理人，监理人应立即通知发包人。发包人和承包人应立即组织人员和设备进行紧急抢救和抢修，减少人员伤亡和财产损失，防止事故扩大，并保护事故现场。需要移动现场物品时，应作出标记和书面记录，妥善保管有关证据。发包人和承包人应按国家有关规定，及时如实地向有关部门报告事故发生的情况，以及正在采取的紧急措施等。</w:t>
      </w:r>
    </w:p>
    <w:p w14:paraId="3E2F8B3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6.1.9 安全生产责任</w:t>
      </w:r>
    </w:p>
    <w:p w14:paraId="6F67E3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6.1.9.1 发包人的安全责任</w:t>
      </w:r>
    </w:p>
    <w:p w14:paraId="491914A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发包人应负责赔偿以下各种情况造成</w:t>
      </w:r>
      <w:r>
        <w:rPr>
          <w:rFonts w:hint="eastAsia" w:ascii="Times New Roman" w:hAnsi="Times New Roman" w:eastAsia="仿宋_GB2312"/>
          <w:color w:val="000000"/>
          <w:sz w:val="30"/>
          <w:szCs w:val="32"/>
        </w:rPr>
        <w:t>的</w:t>
      </w:r>
      <w:r>
        <w:rPr>
          <w:rFonts w:ascii="Times New Roman" w:hAnsi="Times New Roman" w:eastAsia="仿宋_GB2312"/>
          <w:color w:val="000000"/>
          <w:sz w:val="30"/>
          <w:szCs w:val="32"/>
        </w:rPr>
        <w:t>损失：</w:t>
      </w:r>
    </w:p>
    <w:p w14:paraId="4BB27DD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（1）工程或工程的任何部分对土地的占用所造成的第三者财产损失；</w:t>
      </w:r>
    </w:p>
    <w:p w14:paraId="0CF4A541">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（2）由于发包人原因在施工场地及其毗邻地带造成的第三者人身伤亡和财产损失</w:t>
      </w:r>
      <w:r>
        <w:rPr>
          <w:rFonts w:hint="eastAsia" w:ascii="Times New Roman" w:hAnsi="Times New Roman" w:eastAsia="仿宋_GB2312"/>
          <w:color w:val="000000"/>
          <w:sz w:val="30"/>
          <w:szCs w:val="32"/>
        </w:rPr>
        <w:t>；</w:t>
      </w:r>
    </w:p>
    <w:p w14:paraId="2553711A">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（3）由于发包人原因对承包人、监理人造成的人员人身伤亡和财产损失；</w:t>
      </w:r>
    </w:p>
    <w:p w14:paraId="3FAFE13B">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（4）由于发包人原因造成的发包人自身人员的人身伤害以及财产损失。</w:t>
      </w:r>
    </w:p>
    <w:p w14:paraId="6A1A81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6.1.9.2 承包人的安全责任</w:t>
      </w:r>
    </w:p>
    <w:p w14:paraId="6C69A67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sz w:val="30"/>
          <w:szCs w:val="32"/>
        </w:rPr>
        <w:t>由于承包人原因在施工场地内及其毗邻地带造成的</w:t>
      </w:r>
      <w:r>
        <w:rPr>
          <w:rFonts w:hint="eastAsia" w:ascii="Times New Roman" w:hAnsi="Times New Roman" w:eastAsia="仿宋_GB2312"/>
          <w:color w:val="000000"/>
          <w:sz w:val="30"/>
          <w:szCs w:val="32"/>
        </w:rPr>
        <w:t>发包人、监理人以及</w:t>
      </w:r>
      <w:r>
        <w:rPr>
          <w:rFonts w:ascii="Times New Roman" w:hAnsi="Times New Roman" w:eastAsia="仿宋_GB2312"/>
          <w:color w:val="000000"/>
          <w:sz w:val="30"/>
          <w:szCs w:val="32"/>
        </w:rPr>
        <w:t>第三者人员伤亡和财产损失，由承包人负责赔偿。</w:t>
      </w:r>
    </w:p>
    <w:p w14:paraId="405FDCBD">
      <w:pPr>
        <w:pStyle w:val="6"/>
        <w:spacing w:before="120" w:after="120" w:line="360" w:lineRule="auto"/>
        <w:ind w:firstLine="600" w:firstLineChars="200"/>
        <w:rPr>
          <w:rFonts w:ascii="Times New Roman" w:hAnsi="Times New Roman" w:eastAsia="黑体"/>
          <w:b w:val="0"/>
          <w:color w:val="000000"/>
          <w:sz w:val="30"/>
          <w:szCs w:val="32"/>
        </w:rPr>
      </w:pPr>
      <w:bookmarkStart w:id="160" w:name="_Toc351203540"/>
      <w:r>
        <w:rPr>
          <w:rFonts w:ascii="Times New Roman" w:hAnsi="Times New Roman" w:eastAsia="黑体"/>
          <w:b w:val="0"/>
          <w:color w:val="000000"/>
          <w:sz w:val="30"/>
          <w:szCs w:val="32"/>
        </w:rPr>
        <w:t>6</w:t>
      </w:r>
      <w:bookmarkStart w:id="161" w:name="_Toc337558765"/>
      <w:r>
        <w:rPr>
          <w:rFonts w:ascii="Times New Roman" w:hAnsi="Times New Roman" w:eastAsia="黑体"/>
          <w:b w:val="0"/>
          <w:color w:val="000000"/>
          <w:sz w:val="30"/>
          <w:szCs w:val="32"/>
        </w:rPr>
        <w:t>.2 职业健康</w:t>
      </w:r>
      <w:bookmarkEnd w:id="160"/>
    </w:p>
    <w:bookmarkEnd w:id="161"/>
    <w:p w14:paraId="409DB7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6.2.1 劳动保护</w:t>
      </w:r>
    </w:p>
    <w:p w14:paraId="38CF9F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安排现场施工人员的劳动和休息时间，保障劳动者的休息时间，并支付合理的报酬和费用。承包人应依法为其履行合同所雇用的人员办理必要的证件、许可、保险和注册等，承包人应督促其分包人为分包人所雇用的人员办理必要的证件、许可、保险和注册等。</w:t>
      </w:r>
    </w:p>
    <w:p w14:paraId="5AE83B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法律规定保障现场施工人员的劳动安全，并提供劳动保护,并应按国家有关劳动保护的规定，采取有效的防止粉尘、降低噪声、控制有害气体和保障高温、高寒、高空作业安全等劳动保护措施。承包人雇佣人员在施工中受到伤害的，承包人应立即采取有效措施进行抢救和治疗。</w:t>
      </w:r>
    </w:p>
    <w:p w14:paraId="035748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w:t>
      </w:r>
      <w:r>
        <w:rPr>
          <w:rFonts w:hint="eastAsia" w:ascii="Times New Roman" w:hAnsi="Times New Roman" w:eastAsia="仿宋_GB2312"/>
          <w:color w:val="000000"/>
          <w:kern w:val="0"/>
          <w:sz w:val="30"/>
          <w:szCs w:val="32"/>
        </w:rPr>
        <w:t>法律</w:t>
      </w:r>
      <w:r>
        <w:rPr>
          <w:rFonts w:ascii="Times New Roman" w:hAnsi="Times New Roman" w:eastAsia="仿宋_GB2312"/>
          <w:color w:val="000000"/>
          <w:kern w:val="0"/>
          <w:sz w:val="30"/>
          <w:szCs w:val="32"/>
        </w:rPr>
        <w:t>规定安排工作时间，保证其雇佣人员享有休息和休假的权利。因工程施工的特殊需要占用休假日或延长工作时间的，应不超过法律规定的限度，并按法律规定给予补休或付酬。</w:t>
      </w:r>
    </w:p>
    <w:p w14:paraId="1F1DCC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6.2.2 生活条件</w:t>
      </w:r>
    </w:p>
    <w:p w14:paraId="3A8D77C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承包人应为其履行合同所雇用的人员提供必要的膳宿条件和生活环境；承包人应采取有效措施预防传染病，保证施工人员的健康，并定期对施工现场、施工人员生活基地和工程进行防疫和卫生的专业检查和处理, 在远离城镇的施工场地，还应配备必要的伤病防治和急救的医务人员与医疗设施。</w:t>
      </w:r>
    </w:p>
    <w:p w14:paraId="21CCA75C">
      <w:pPr>
        <w:pStyle w:val="6"/>
        <w:spacing w:before="120" w:after="120" w:line="360" w:lineRule="auto"/>
        <w:ind w:firstLine="600" w:firstLineChars="200"/>
        <w:rPr>
          <w:rFonts w:ascii="Times New Roman" w:hAnsi="Times New Roman" w:eastAsia="黑体"/>
          <w:b w:val="0"/>
          <w:color w:val="000000"/>
          <w:sz w:val="30"/>
          <w:szCs w:val="32"/>
        </w:rPr>
      </w:pPr>
      <w:bookmarkStart w:id="162" w:name="_Toc351203541"/>
      <w:r>
        <w:rPr>
          <w:rFonts w:ascii="Times New Roman" w:hAnsi="Times New Roman" w:eastAsia="黑体"/>
          <w:b w:val="0"/>
          <w:color w:val="000000"/>
          <w:sz w:val="30"/>
          <w:szCs w:val="32"/>
        </w:rPr>
        <w:t>6</w:t>
      </w:r>
      <w:bookmarkStart w:id="163" w:name="_Toc337558766"/>
      <w:r>
        <w:rPr>
          <w:rFonts w:ascii="Times New Roman" w:hAnsi="Times New Roman" w:eastAsia="黑体"/>
          <w:b w:val="0"/>
          <w:color w:val="000000"/>
          <w:sz w:val="30"/>
          <w:szCs w:val="32"/>
        </w:rPr>
        <w:t>.3 环境保护</w:t>
      </w:r>
      <w:bookmarkEnd w:id="162"/>
    </w:p>
    <w:bookmarkEnd w:id="163"/>
    <w:p w14:paraId="48EEFA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承包人应在施工组织设计中列明环境保护的具体措施。在合同履行期间，承包人应采取合理措施保护施工现场环境。对施工作业过程中可能引起的大气、水、噪音以及固体废物污染采取具体可行的防范措施。</w:t>
      </w:r>
    </w:p>
    <w:p w14:paraId="557970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承包人应当承担因其原因引起的环境污染侵权损害赔偿责任，因上述环境污染引起纠纷而导致暂停施工的，由此增加的费用和（或）延误的工期由承包人承担。</w:t>
      </w:r>
    </w:p>
    <w:p w14:paraId="3E9184B0">
      <w:pPr>
        <w:pStyle w:val="5"/>
        <w:spacing w:before="120" w:after="120" w:line="360" w:lineRule="auto"/>
        <w:rPr>
          <w:rFonts w:ascii="Times New Roman" w:hAnsi="Times New Roman" w:eastAsia="黑体"/>
          <w:b w:val="0"/>
          <w:color w:val="000000"/>
          <w:sz w:val="32"/>
          <w:szCs w:val="32"/>
        </w:rPr>
      </w:pPr>
      <w:bookmarkStart w:id="164" w:name="_Toc351203542"/>
      <w:r>
        <w:rPr>
          <w:rFonts w:ascii="Times New Roman" w:hAnsi="Times New Roman" w:eastAsia="黑体"/>
          <w:b w:val="0"/>
          <w:color w:val="000000"/>
          <w:sz w:val="32"/>
          <w:szCs w:val="32"/>
        </w:rPr>
        <w:t>7</w:t>
      </w:r>
      <w:bookmarkStart w:id="165" w:name="_Toc337558767"/>
      <w:r>
        <w:rPr>
          <w:rFonts w:ascii="Times New Roman" w:hAnsi="Times New Roman" w:eastAsia="黑体"/>
          <w:b w:val="0"/>
          <w:color w:val="000000"/>
          <w:sz w:val="32"/>
          <w:szCs w:val="32"/>
        </w:rPr>
        <w:t>. 工期和进度</w:t>
      </w:r>
      <w:bookmarkEnd w:id="164"/>
    </w:p>
    <w:bookmarkEnd w:id="165"/>
    <w:p w14:paraId="340B823C">
      <w:pPr>
        <w:pStyle w:val="6"/>
        <w:spacing w:before="120" w:after="120" w:line="360" w:lineRule="auto"/>
        <w:ind w:firstLine="600" w:firstLineChars="200"/>
        <w:rPr>
          <w:rFonts w:ascii="Times New Roman" w:hAnsi="Times New Roman" w:eastAsia="黑体"/>
          <w:b w:val="0"/>
          <w:color w:val="000000"/>
          <w:sz w:val="30"/>
          <w:szCs w:val="32"/>
        </w:rPr>
      </w:pPr>
      <w:bookmarkStart w:id="166" w:name="_Toc351203543"/>
      <w:r>
        <w:rPr>
          <w:rFonts w:ascii="Times New Roman" w:hAnsi="Times New Roman" w:eastAsia="黑体"/>
          <w:b w:val="0"/>
          <w:color w:val="000000"/>
          <w:sz w:val="30"/>
          <w:szCs w:val="32"/>
        </w:rPr>
        <w:t>7</w:t>
      </w:r>
      <w:bookmarkStart w:id="167" w:name="_Toc337558768"/>
      <w:bookmarkStart w:id="168" w:name="_Toc296346567"/>
      <w:bookmarkStart w:id="169" w:name="_Toc296503066"/>
      <w:r>
        <w:rPr>
          <w:rFonts w:ascii="Times New Roman" w:hAnsi="Times New Roman" w:eastAsia="黑体"/>
          <w:b w:val="0"/>
          <w:color w:val="000000"/>
          <w:sz w:val="30"/>
          <w:szCs w:val="32"/>
        </w:rPr>
        <w:t>.1施工组织设计</w:t>
      </w:r>
      <w:bookmarkEnd w:id="166"/>
    </w:p>
    <w:bookmarkEnd w:id="167"/>
    <w:p w14:paraId="7BBAF74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7.1.1</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施工组织设计的内容</w:t>
      </w:r>
    </w:p>
    <w:p w14:paraId="740FF1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施工组织设计应包含以下内容：</w:t>
      </w:r>
    </w:p>
    <w:p w14:paraId="27253C3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（1）施工方案； </w:t>
      </w:r>
    </w:p>
    <w:p w14:paraId="517712F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（2）施工现场平面布置图；</w:t>
      </w:r>
    </w:p>
    <w:p w14:paraId="58EF1A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（3）施工进度计划和保证措施； </w:t>
      </w:r>
    </w:p>
    <w:p w14:paraId="54BB4E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（4）劳动力及材料供应计划；</w:t>
      </w:r>
    </w:p>
    <w:p w14:paraId="7F50225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（5）施工机械设备的选用；</w:t>
      </w:r>
    </w:p>
    <w:p w14:paraId="46DF20F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（6）质量保证体系及措施；</w:t>
      </w:r>
    </w:p>
    <w:p w14:paraId="6A1189A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（7）安全生产、文明施工措施；</w:t>
      </w:r>
    </w:p>
    <w:p w14:paraId="1F4FDB4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（8）环境保护、成本控制措施</w:t>
      </w:r>
      <w:r>
        <w:rPr>
          <w:rFonts w:hint="eastAsia" w:ascii="Times New Roman" w:hAnsi="Times New Roman" w:eastAsia="仿宋_GB2312"/>
          <w:color w:val="000000"/>
          <w:kern w:val="0"/>
          <w:sz w:val="30"/>
          <w:szCs w:val="32"/>
        </w:rPr>
        <w:t>；</w:t>
      </w:r>
    </w:p>
    <w:p w14:paraId="2A064C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（9）合同当事人约定的其他内容</w:t>
      </w:r>
      <w:r>
        <w:rPr>
          <w:rFonts w:ascii="Times New Roman" w:hAnsi="Times New Roman" w:eastAsia="仿宋_GB2312"/>
          <w:color w:val="000000"/>
          <w:kern w:val="0"/>
          <w:sz w:val="30"/>
          <w:szCs w:val="32"/>
        </w:rPr>
        <w:t>。</w:t>
      </w:r>
    </w:p>
    <w:p w14:paraId="51B188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0B10478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除专用合同条款另有约定外，承包人应在合同签订后14天内，但至迟不得晚于第7.3.2项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载明的开工日期前7天，向监理人提交详细的施工组织设计，并由监理人报送发包人。</w:t>
      </w:r>
      <w:r>
        <w:rPr>
          <w:rFonts w:hint="eastAsia" w:ascii="Times New Roman" w:hAnsi="Times New Roman" w:eastAsia="仿宋_GB2312"/>
          <w:color w:val="000000"/>
          <w:kern w:val="0"/>
          <w:sz w:val="30"/>
          <w:szCs w:val="32"/>
        </w:rPr>
        <w:t>除专用合同条款另有约定外，发包人和监理人应在监理人收到施工组织设计后7天内确认或提出修改意见</w:t>
      </w:r>
      <w:r>
        <w:rPr>
          <w:rFonts w:ascii="Times New Roman" w:hAnsi="Times New Roman" w:eastAsia="仿宋_GB2312"/>
          <w:color w:val="000000"/>
          <w:kern w:val="0"/>
          <w:sz w:val="30"/>
          <w:szCs w:val="32"/>
        </w:rPr>
        <w:t>。对发包人和监理人提出的合理意见和要求，承包人应自费修改完善。根据工程实际情况需要修改施工组织设计的，承包人应向发包人和监理人提交修改后的施工组织设计。</w:t>
      </w:r>
    </w:p>
    <w:p w14:paraId="086DF1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施工进度计划的编制和修改按照第7.2款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55C61D16">
      <w:pPr>
        <w:pStyle w:val="6"/>
        <w:spacing w:before="120" w:after="120" w:line="360" w:lineRule="auto"/>
        <w:ind w:firstLine="600" w:firstLineChars="200"/>
        <w:rPr>
          <w:rFonts w:ascii="Times New Roman" w:hAnsi="Times New Roman" w:eastAsia="黑体"/>
          <w:b w:val="0"/>
          <w:color w:val="000000"/>
          <w:sz w:val="30"/>
          <w:szCs w:val="32"/>
        </w:rPr>
      </w:pPr>
      <w:bookmarkStart w:id="170" w:name="_Toc351203544"/>
      <w:r>
        <w:rPr>
          <w:rFonts w:ascii="Times New Roman" w:hAnsi="Times New Roman" w:eastAsia="黑体"/>
          <w:b w:val="0"/>
          <w:color w:val="000000"/>
          <w:sz w:val="30"/>
          <w:szCs w:val="32"/>
        </w:rPr>
        <w:t>7</w:t>
      </w:r>
      <w:bookmarkStart w:id="171" w:name="_Toc337558769"/>
      <w:r>
        <w:rPr>
          <w:rFonts w:ascii="Times New Roman" w:hAnsi="Times New Roman" w:eastAsia="黑体"/>
          <w:b w:val="0"/>
          <w:color w:val="000000"/>
          <w:sz w:val="30"/>
          <w:szCs w:val="32"/>
        </w:rPr>
        <w:t>.2 施工进度计划</w:t>
      </w:r>
      <w:bookmarkEnd w:id="170"/>
    </w:p>
    <w:bookmarkEnd w:id="171"/>
    <w:p w14:paraId="1B8A37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7.2.1 施工进度计划的编制</w:t>
      </w:r>
    </w:p>
    <w:p w14:paraId="5E1BEA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提交详细的施工进度计划，施工进度计划的编制应当符合国家法律规定和一般工程实践惯例，施工进度计划经发包人批准后实施。施工进度计划是控制工程进度的依据，发包人和监理人有权按照施工进度计划检查工程进度情况。</w:t>
      </w:r>
    </w:p>
    <w:p w14:paraId="022C73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7.2.2 施工进度计划的修订</w:t>
      </w:r>
    </w:p>
    <w:p w14:paraId="06F33A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进度计划不符合合同要求或与工程的实际进度不一致的，承包人应向监理人提交修订的施工进度计划，并附具有关措施和相关资料，由监理人报送发包人。除专用合同条款另有约定外，发包人和监理人应在收到修订的施工进度计划后7天内完成审核和批准或提出修改意见。发包人和监理人对承包人提交的施工进度计划的确认，不能减轻或免除承包人根据法律规定和合同约定应承担的任何责任或义务。</w:t>
      </w:r>
    </w:p>
    <w:p w14:paraId="4FDD4A55">
      <w:pPr>
        <w:pStyle w:val="6"/>
        <w:spacing w:before="120" w:after="120" w:line="360" w:lineRule="auto"/>
        <w:ind w:firstLine="600" w:firstLineChars="200"/>
        <w:rPr>
          <w:rFonts w:ascii="Times New Roman" w:hAnsi="Times New Roman" w:eastAsia="黑体"/>
          <w:b w:val="0"/>
          <w:color w:val="000000"/>
          <w:sz w:val="30"/>
          <w:szCs w:val="32"/>
        </w:rPr>
      </w:pPr>
      <w:bookmarkStart w:id="172" w:name="_Toc351203545"/>
      <w:r>
        <w:rPr>
          <w:rFonts w:ascii="Times New Roman" w:hAnsi="Times New Roman" w:eastAsia="黑体"/>
          <w:b w:val="0"/>
          <w:color w:val="000000"/>
          <w:sz w:val="30"/>
          <w:szCs w:val="32"/>
        </w:rPr>
        <w:t>7</w:t>
      </w:r>
      <w:bookmarkStart w:id="173" w:name="_Toc337558770"/>
      <w:r>
        <w:rPr>
          <w:rFonts w:ascii="Times New Roman" w:hAnsi="Times New Roman" w:eastAsia="黑体"/>
          <w:b w:val="0"/>
          <w:color w:val="000000"/>
          <w:sz w:val="30"/>
          <w:szCs w:val="32"/>
        </w:rPr>
        <w:t>.3 开工</w:t>
      </w:r>
      <w:bookmarkEnd w:id="172"/>
    </w:p>
    <w:p w14:paraId="4098E01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7.3.1 开工准备</w:t>
      </w:r>
    </w:p>
    <w:p w14:paraId="5AC01B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除专用合同条款另有约定外，承包人应按照第7.1款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期限，向监理人提交工程开工报审表，经监理人报发包人批准后执行。开工报审表应详细说明按施工进度计划正常施工所需的施工道路、临时设施、材料、工程设备、施工设备、施工人员等落实情况以及工程的进度安排。</w:t>
      </w:r>
    </w:p>
    <w:p w14:paraId="7132393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除专用合同条款另有约定外，合同当事人应按约定完成开工准备工作。</w:t>
      </w:r>
    </w:p>
    <w:p w14:paraId="7EDE097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7.3.2 开工通知</w:t>
      </w:r>
    </w:p>
    <w:bookmarkEnd w:id="173"/>
    <w:p w14:paraId="214B738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发包人应按照法律规定获得工程施工所需的许可。经发包人同意后，监理人发出的开工通知应符合法律规定。监理人应在计划开工日期7天前向承包人发出开工通知，工期自开工通知中载明的开工日期起算。</w:t>
      </w:r>
    </w:p>
    <w:p w14:paraId="56FD40F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因发包人原因造成监理人未能在计划开工日期之日起90天内发出开工通知的，承包人有权提出价格调整要求，或者解除合同。发包人应当承担由此增加的费用和（或）延误的工期，并向承包人支付合理利润。</w:t>
      </w:r>
    </w:p>
    <w:p w14:paraId="68F4E526">
      <w:pPr>
        <w:pStyle w:val="6"/>
        <w:spacing w:before="120" w:after="120" w:line="360" w:lineRule="auto"/>
        <w:ind w:firstLine="600" w:firstLineChars="200"/>
        <w:rPr>
          <w:rFonts w:ascii="Times New Roman" w:hAnsi="Times New Roman" w:eastAsia="黑体"/>
          <w:b w:val="0"/>
          <w:color w:val="000000"/>
          <w:sz w:val="30"/>
          <w:szCs w:val="32"/>
        </w:rPr>
      </w:pPr>
      <w:bookmarkStart w:id="174" w:name="_Toc351203546"/>
      <w:r>
        <w:rPr>
          <w:rFonts w:ascii="Times New Roman" w:hAnsi="Times New Roman" w:eastAsia="黑体"/>
          <w:b w:val="0"/>
          <w:color w:val="000000"/>
          <w:sz w:val="30"/>
          <w:szCs w:val="32"/>
        </w:rPr>
        <w:t>7.4测量放线</w:t>
      </w:r>
      <w:bookmarkEnd w:id="174"/>
    </w:p>
    <w:p w14:paraId="71595C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7.4.1 除专用合同条款另有约定外，发包人应在至迟不得晚于第7.3.2项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开工通知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载明的开工日期前7天通过监理人向承包人提供测量基准点、基准线和水准点及其书面资料。发包人应对其提供的测量基准点、基准线和水准点及其书面资料的真实性、准确性和完整性负责。</w:t>
      </w:r>
    </w:p>
    <w:p w14:paraId="699D87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现发包人提供的测量基准点、基准线和水准点及其书面资料存在错误或疏漏的，应及时通知监理人。监理人应及时报告发包人，并会同发包人和承包人予以核实。发包人应就如何处理和是否继续施工作出决定，并通知监理人和承包人。</w:t>
      </w:r>
    </w:p>
    <w:p w14:paraId="515659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7.4.2 承包人负责施工过程中的全部施工测量放线工作，并配置具有相应资质的人员、合格的仪器、设备和其他物品。承包人应矫正工程的位置、标高、尺寸或准线中出现的任何差错，并对工程各部分的定位负责。</w:t>
      </w:r>
    </w:p>
    <w:p w14:paraId="0DAF02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施工过程中对施工现场内水准点等测量标志物的保护工作由承包人负责。</w:t>
      </w:r>
      <w:bookmarkStart w:id="175" w:name="_Toc351203547"/>
    </w:p>
    <w:p w14:paraId="7512F751">
      <w:pPr>
        <w:pStyle w:val="6"/>
        <w:spacing w:before="120" w:after="120" w:line="360" w:lineRule="auto"/>
        <w:ind w:firstLine="600" w:firstLineChars="200"/>
        <w:rPr>
          <w:rFonts w:ascii="Times New Roman" w:hAnsi="Times New Roman" w:eastAsia="黑体"/>
          <w:b w:val="0"/>
          <w:color w:val="000000"/>
          <w:sz w:val="30"/>
          <w:szCs w:val="32"/>
        </w:rPr>
      </w:pPr>
      <w:r>
        <w:rPr>
          <w:rFonts w:ascii="Times New Roman" w:hAnsi="Times New Roman" w:eastAsia="黑体"/>
          <w:b w:val="0"/>
          <w:color w:val="000000"/>
          <w:sz w:val="30"/>
          <w:szCs w:val="32"/>
        </w:rPr>
        <w:t>7</w:t>
      </w:r>
      <w:bookmarkEnd w:id="168"/>
      <w:bookmarkEnd w:id="169"/>
      <w:bookmarkStart w:id="176" w:name="_Toc337558772"/>
      <w:bookmarkStart w:id="177" w:name="_Toc296503073"/>
      <w:bookmarkStart w:id="178" w:name="_Toc296346574"/>
      <w:r>
        <w:rPr>
          <w:rFonts w:ascii="Times New Roman" w:hAnsi="Times New Roman" w:eastAsia="黑体"/>
          <w:b w:val="0"/>
          <w:color w:val="000000"/>
          <w:sz w:val="30"/>
          <w:szCs w:val="32"/>
        </w:rPr>
        <w:t>.5</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工期延误</w:t>
      </w:r>
      <w:bookmarkEnd w:id="175"/>
    </w:p>
    <w:bookmarkEnd w:id="176"/>
    <w:bookmarkEnd w:id="177"/>
    <w:bookmarkEnd w:id="178"/>
    <w:p w14:paraId="3045E01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7.5.1 因发包人原因导致工期延误</w:t>
      </w:r>
    </w:p>
    <w:p w14:paraId="0BA7118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在合同履行过程中，因下列情况导致工期延误和（或）费用增加的，由发包人承担由此延误的工期和（或）增加的费用，且发包人应支付承包人合理的利润： </w:t>
      </w:r>
    </w:p>
    <w:p w14:paraId="10020E3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（1）发包人未能按合同约定提供图纸或所提供图纸不符合合同约定的；</w:t>
      </w:r>
    </w:p>
    <w:p w14:paraId="2B3B87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（2）发包人未能按合同约定提供施工现场、施工条件、基础资料、许可、批准等开工条件的；</w:t>
      </w:r>
    </w:p>
    <w:p w14:paraId="6298630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（3）发包人提供的测量基准点、基准线和水准点及其书面资料存在错误或疏漏的；</w:t>
      </w:r>
    </w:p>
    <w:p w14:paraId="7CEF8A8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（4）发包人未能在计划开工日期之日起7天内同意下达开工通知的；</w:t>
      </w:r>
    </w:p>
    <w:p w14:paraId="703191F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（5）发包人未能按合同约定日期支付工程预付款、进度款或竣工结算款的；</w:t>
      </w:r>
    </w:p>
    <w:p w14:paraId="7AFFD8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（6）监理人未按合同约定发出指示、批准等文件的；</w:t>
      </w:r>
    </w:p>
    <w:p w14:paraId="1D1AB7B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（7）专用合同条款中约定的其他情形。</w:t>
      </w:r>
    </w:p>
    <w:p w14:paraId="23E52B2A">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因发包人原因未按计划开工日期开工的，发包人应按实际开工日期顺延竣工日期，确保实际工期不低于合同约定的工期总日历天数。因发包人原因导致工期延误需要修订施工进度计划的，按照第7.2.2项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0DBF5F68">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7.5.2 因承包人原因导致工期延误</w:t>
      </w:r>
    </w:p>
    <w:p w14:paraId="32EC29B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bookmarkStart w:id="179" w:name="_Toc296346577"/>
      <w:bookmarkStart w:id="180" w:name="_Toc296503076"/>
      <w:r>
        <w:rPr>
          <w:rFonts w:ascii="Times New Roman" w:hAnsi="Times New Roman" w:eastAsia="仿宋_GB2312"/>
          <w:color w:val="000000"/>
          <w:kern w:val="0"/>
          <w:sz w:val="30"/>
          <w:szCs w:val="32"/>
        </w:rPr>
        <w:t>因</w:t>
      </w:r>
      <w:bookmarkEnd w:id="179"/>
      <w:bookmarkEnd w:id="180"/>
      <w:r>
        <w:rPr>
          <w:rFonts w:ascii="Times New Roman" w:hAnsi="Times New Roman" w:eastAsia="仿宋_GB2312"/>
          <w:color w:val="000000"/>
          <w:kern w:val="0"/>
          <w:sz w:val="30"/>
          <w:szCs w:val="32"/>
        </w:rPr>
        <w:t>承包人原因造成工期延误的，可以在专用合同条款中约定逾期竣工违约金的计算方法和逾期竣工违约金的上限。承包人支付逾期竣工违约金后，不免除承包人继续完成工程及修补缺陷的义务。</w:t>
      </w:r>
    </w:p>
    <w:p w14:paraId="205A5A74">
      <w:pPr>
        <w:pStyle w:val="6"/>
        <w:spacing w:before="120" w:after="120" w:line="360" w:lineRule="auto"/>
        <w:ind w:firstLine="600" w:firstLineChars="200"/>
        <w:rPr>
          <w:rFonts w:ascii="Times New Roman" w:hAnsi="Times New Roman" w:eastAsia="黑体"/>
          <w:b w:val="0"/>
          <w:color w:val="000000"/>
          <w:sz w:val="30"/>
          <w:szCs w:val="32"/>
        </w:rPr>
      </w:pPr>
      <w:bookmarkStart w:id="181" w:name="_Toc351203548"/>
      <w:r>
        <w:rPr>
          <w:rFonts w:ascii="Times New Roman" w:hAnsi="Times New Roman" w:eastAsia="黑体"/>
          <w:b w:val="0"/>
          <w:color w:val="000000"/>
          <w:sz w:val="30"/>
          <w:szCs w:val="32"/>
        </w:rPr>
        <w:t>7</w:t>
      </w:r>
      <w:bookmarkStart w:id="182" w:name="_Toc337558773"/>
      <w:bookmarkStart w:id="183" w:name="_Toc296346575"/>
      <w:bookmarkStart w:id="184" w:name="_Toc296503074"/>
      <w:bookmarkStart w:id="185" w:name="_Toc296503077"/>
      <w:bookmarkStart w:id="186" w:name="_Toc296346578"/>
      <w:r>
        <w:rPr>
          <w:rFonts w:ascii="Times New Roman" w:hAnsi="Times New Roman" w:eastAsia="黑体"/>
          <w:b w:val="0"/>
          <w:color w:val="000000"/>
          <w:sz w:val="30"/>
          <w:szCs w:val="32"/>
        </w:rPr>
        <w:t>.6 不利物质条件</w:t>
      </w:r>
      <w:bookmarkEnd w:id="181"/>
    </w:p>
    <w:bookmarkEnd w:id="182"/>
    <w:bookmarkEnd w:id="183"/>
    <w:bookmarkEnd w:id="184"/>
    <w:p w14:paraId="6A8581B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不利物质条件是指有经验的承包人在施工现场遇到的不可预见的自然物质条件、非自然的物质障碍和污染物，包括地表以下物质条件和水文条件以及专用合同条款约定的其他情形，但不包括气候条件。</w:t>
      </w:r>
    </w:p>
    <w:p w14:paraId="581BB8C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遇到不利物质条件时，应采取克服不利物质条件的合理措施继续施工，并及时通知发包人和监理人。通知应载明不利物质条件的内容以及承包人认为不可预见的理由。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约定执行。承包人因采取合理措施而增加的费用和（或）延误的工期由发包人承担。</w:t>
      </w:r>
    </w:p>
    <w:p w14:paraId="018E5010">
      <w:pPr>
        <w:pStyle w:val="6"/>
        <w:spacing w:before="120" w:after="120" w:line="360" w:lineRule="auto"/>
        <w:ind w:firstLine="600" w:firstLineChars="200"/>
        <w:rPr>
          <w:rFonts w:ascii="Times New Roman" w:hAnsi="Times New Roman" w:eastAsia="黑体"/>
          <w:b w:val="0"/>
          <w:color w:val="000000"/>
          <w:sz w:val="30"/>
          <w:szCs w:val="32"/>
        </w:rPr>
      </w:pPr>
      <w:bookmarkStart w:id="187" w:name="_Toc351203549"/>
      <w:r>
        <w:rPr>
          <w:rFonts w:ascii="Times New Roman" w:hAnsi="Times New Roman" w:eastAsia="黑体"/>
          <w:b w:val="0"/>
          <w:color w:val="000000"/>
          <w:sz w:val="30"/>
          <w:szCs w:val="32"/>
        </w:rPr>
        <w:t>7</w:t>
      </w:r>
      <w:bookmarkStart w:id="188" w:name="_Toc337558774"/>
      <w:bookmarkStart w:id="189" w:name="_Toc296346576"/>
      <w:bookmarkStart w:id="190" w:name="_Toc296503075"/>
      <w:r>
        <w:rPr>
          <w:rFonts w:ascii="Times New Roman" w:hAnsi="Times New Roman" w:eastAsia="黑体"/>
          <w:b w:val="0"/>
          <w:color w:val="000000"/>
          <w:sz w:val="30"/>
          <w:szCs w:val="32"/>
        </w:rPr>
        <w:t>.7</w:t>
      </w:r>
      <w:r>
        <w:rPr>
          <w:rFonts w:hint="eastAsia" w:ascii="Times New Roman" w:hAnsi="Times New Roman" w:eastAsia="黑体"/>
          <w:b w:val="0"/>
          <w:color w:val="000000"/>
          <w:sz w:val="30"/>
          <w:szCs w:val="32"/>
        </w:rPr>
        <w:t xml:space="preserve"> </w:t>
      </w:r>
      <w:r>
        <w:rPr>
          <w:rFonts w:ascii="Times New Roman" w:hAnsi="Times New Roman" w:eastAsia="黑体"/>
          <w:b w:val="0"/>
          <w:color w:val="000000"/>
          <w:sz w:val="30"/>
          <w:szCs w:val="32"/>
        </w:rPr>
        <w:t>异常恶劣的气候条件</w:t>
      </w:r>
      <w:bookmarkEnd w:id="187"/>
    </w:p>
    <w:bookmarkEnd w:id="188"/>
    <w:bookmarkEnd w:id="189"/>
    <w:bookmarkEnd w:id="190"/>
    <w:p w14:paraId="63A0142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异常恶劣的气候条件是指在施工过程中遇到的，有经验的承包人在签订合同时不可预见的，对合同履行造成实质性影响的，但尚未构成不可抗力事件的恶劣气候条件。合同当事人可以在专用合同条款中约定异常恶劣的气候条件的具体情形。</w:t>
      </w:r>
    </w:p>
    <w:p w14:paraId="07B19C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承包人应采取克服异常恶劣的气候条件的合理措施继续施工，并及时通知发包人和监理人。监理人经发包人同意后应当及时发出指示，指示构成变更的，按第10条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约定办理。承包人因采取合理措施而增加的费用和（或）延误的工期由发包人承担。</w:t>
      </w:r>
      <w:bookmarkStart w:id="191" w:name="_Toc351203550"/>
    </w:p>
    <w:p w14:paraId="4BA09F39">
      <w:pPr>
        <w:autoSpaceDE w:val="0"/>
        <w:autoSpaceDN w:val="0"/>
        <w:adjustRightInd w:val="0"/>
        <w:spacing w:line="360" w:lineRule="auto"/>
        <w:ind w:firstLine="600" w:firstLineChars="200"/>
        <w:jc w:val="left"/>
        <w:outlineLvl w:val="0"/>
        <w:rPr>
          <w:rFonts w:ascii="Times New Roman" w:hAnsi="Times New Roman" w:eastAsia="黑体"/>
          <w:bCs/>
          <w:color w:val="000000"/>
          <w:sz w:val="30"/>
          <w:szCs w:val="32"/>
        </w:rPr>
      </w:pPr>
      <w:r>
        <w:rPr>
          <w:rFonts w:ascii="Times New Roman" w:hAnsi="Times New Roman" w:eastAsia="黑体"/>
          <w:bCs/>
          <w:color w:val="000000"/>
          <w:sz w:val="30"/>
          <w:szCs w:val="32"/>
        </w:rPr>
        <w:t>7</w:t>
      </w:r>
      <w:bookmarkStart w:id="192" w:name="_Toc337558775"/>
      <w:r>
        <w:rPr>
          <w:rFonts w:ascii="Times New Roman" w:hAnsi="Times New Roman" w:eastAsia="黑体"/>
          <w:bCs/>
          <w:color w:val="000000"/>
          <w:sz w:val="30"/>
          <w:szCs w:val="32"/>
        </w:rPr>
        <w:t>.8</w:t>
      </w:r>
      <w:r>
        <w:rPr>
          <w:rFonts w:hint="eastAsia" w:ascii="Times New Roman" w:hAnsi="Times New Roman" w:eastAsia="黑体"/>
          <w:bCs/>
          <w:color w:val="000000"/>
          <w:sz w:val="30"/>
          <w:szCs w:val="32"/>
        </w:rPr>
        <w:t xml:space="preserve"> </w:t>
      </w:r>
      <w:r>
        <w:rPr>
          <w:rFonts w:ascii="Times New Roman" w:hAnsi="Times New Roman" w:eastAsia="黑体"/>
          <w:bCs/>
          <w:color w:val="000000"/>
          <w:sz w:val="30"/>
          <w:szCs w:val="32"/>
        </w:rPr>
        <w:t>暂停施工</w:t>
      </w:r>
      <w:bookmarkEnd w:id="191"/>
    </w:p>
    <w:bookmarkEnd w:id="185"/>
    <w:bookmarkEnd w:id="186"/>
    <w:bookmarkEnd w:id="192"/>
    <w:p w14:paraId="46A982E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7.8.1发包人原因引起的暂停施工</w:t>
      </w:r>
    </w:p>
    <w:p w14:paraId="4D5095C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因发包人原因引起暂停施工的，监理人经发包人同意后，应及时下达暂停施工指示。情况紧急且监理人未及时下达暂停施工指示的，按照第7.8.4项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紧急情况下的暂停施工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2D92F2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因发包人原因引起的暂停施工，发包人应承担由此增加的费用和（或）延误的工期，</w:t>
      </w:r>
      <w:r>
        <w:rPr>
          <w:rFonts w:ascii="Times New Roman" w:hAnsi="Times New Roman" w:eastAsia="仿宋_GB2312"/>
          <w:kern w:val="0"/>
          <w:sz w:val="30"/>
          <w:szCs w:val="32"/>
        </w:rPr>
        <w:t>并支付承包人</w:t>
      </w:r>
      <w:r>
        <w:rPr>
          <w:rFonts w:ascii="Times New Roman" w:hAnsi="Times New Roman" w:eastAsia="仿宋_GB2312"/>
          <w:color w:val="000000"/>
          <w:kern w:val="0"/>
          <w:sz w:val="30"/>
          <w:szCs w:val="32"/>
        </w:rPr>
        <w:t>合理的利润。</w:t>
      </w:r>
    </w:p>
    <w:p w14:paraId="71D6C47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7.8.2 承包人原因引起的暂停施工</w:t>
      </w:r>
    </w:p>
    <w:p w14:paraId="40B104B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因承包人原因引起的暂停施工，承包人应承担由此增加的费用和（或）延误的工期，且承包人在收到监理人复工指示后</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天内仍未复工的，视为第16.2.1项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第（7）目约定的承包人无法继续履行合同的情形。</w:t>
      </w:r>
    </w:p>
    <w:p w14:paraId="4A5BCE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7.8.3 指示暂停施工</w:t>
      </w:r>
    </w:p>
    <w:p w14:paraId="5F4563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监理人认为有必要时，并经发包人批准后，可向承包人作出暂停施工的指示，承包人应按监理人指示暂停施工。</w:t>
      </w:r>
    </w:p>
    <w:p w14:paraId="06D1118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7.8.4 紧急情况下的暂停施工</w:t>
      </w:r>
    </w:p>
    <w:p w14:paraId="15908A7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紧急情况需暂停施工，且监理人未及时下达暂停施工指示的，承包人可先暂停施工，并及时通知监理人。监理人应在接到通知后24小时内发出指示，逾期未发出指示，视为同意承包人暂停施工。监理人不同意承包人暂停施工的，应说明理由，承包人对监理人的答复有异议，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62F23A5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7.8.5 暂停施工后的复工</w:t>
      </w:r>
    </w:p>
    <w:p w14:paraId="4D62377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后，发包人和承包人应采取有效措施积极消除暂停施工的影响。在工程复工前，监理人会同发包人和承包人确定因暂停施工造成的损失，并确定工程复工条件。当工程具备复工条件时，监理人应经发包人批准后向承包人发出复工通知，承包人应按照复工通知要求复工。</w:t>
      </w:r>
    </w:p>
    <w:p w14:paraId="50B5572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承包人无故拖延和拒绝复工的，承包人承担由此增加的费用和（或）延误的工期；因发包人原因无法按时复工的，按照第7.5.1项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因发包人原因导致工期延误</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2C85678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7.8.6 暂停施工持续56天以上</w:t>
      </w:r>
    </w:p>
    <w:p w14:paraId="392B9762">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监理人发出暂停施工指示后56天内未向承包人发出复工通知，除该项停工属于第7.8.2项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外，承包人可向发包人提交书面通知，要求发包人在收到书面通知后28天内准许已暂停施工的部分或全部工程继续施工。发包人逾期不予批准的，则承包人可以通知发包人，将工程受影响的部分视为按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第（2）项的可取消工作。</w:t>
      </w:r>
    </w:p>
    <w:p w14:paraId="001B01B0">
      <w:pPr>
        <w:spacing w:line="360" w:lineRule="auto"/>
        <w:ind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暂停施工持续</w:t>
      </w:r>
      <w:r>
        <w:rPr>
          <w:rFonts w:hint="eastAsia" w:ascii="Times New Roman" w:hAnsi="Times New Roman" w:eastAsia="仿宋_GB2312"/>
          <w:color w:val="000000"/>
          <w:kern w:val="0"/>
          <w:sz w:val="30"/>
          <w:szCs w:val="32"/>
        </w:rPr>
        <w:t>84</w:t>
      </w:r>
      <w:r>
        <w:rPr>
          <w:rFonts w:ascii="Times New Roman" w:hAnsi="Times New Roman" w:eastAsia="仿宋_GB2312"/>
          <w:color w:val="000000"/>
          <w:kern w:val="0"/>
          <w:sz w:val="30"/>
          <w:szCs w:val="32"/>
        </w:rPr>
        <w:t>天以上不复工的，且不属于第7.8.2项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承包人原因引起的暂停施工</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及第17条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不可抗力</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约定的情形，并影响到整个工程以及合同目的实现的，承包人有权提出价格调整要求，或者解除合同。解除合同的，按照第16.1.3项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因发包人违约解除合同</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20C896C0">
      <w:pPr>
        <w:spacing w:line="360" w:lineRule="auto"/>
        <w:ind w:left="16" w:firstLine="585" w:firstLineChars="195"/>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7.8.7 暂停施工期间的工程照管</w:t>
      </w:r>
    </w:p>
    <w:p w14:paraId="39612D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暂停施工期间，承包人应负责妥善照管工程并提供安全保障，由此增加的费用由责任方承担。</w:t>
      </w:r>
    </w:p>
    <w:p w14:paraId="249E73E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7.8.8 暂停施工的措施</w:t>
      </w:r>
    </w:p>
    <w:p w14:paraId="6EC5382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暂停施工期间，发包人和承包人均应采取必要的措施确保工程质量及安全，防止因暂停施工扩大损失。</w:t>
      </w:r>
    </w:p>
    <w:p w14:paraId="68044B29">
      <w:pPr>
        <w:pStyle w:val="6"/>
        <w:spacing w:before="120" w:after="120" w:line="360" w:lineRule="auto"/>
        <w:ind w:firstLine="600" w:firstLineChars="200"/>
        <w:rPr>
          <w:rFonts w:ascii="Times New Roman" w:hAnsi="Times New Roman" w:eastAsia="黑体"/>
          <w:b w:val="0"/>
          <w:color w:val="000000"/>
          <w:sz w:val="30"/>
          <w:szCs w:val="32"/>
        </w:rPr>
      </w:pPr>
      <w:bookmarkStart w:id="193" w:name="_Toc351203551"/>
      <w:r>
        <w:rPr>
          <w:rFonts w:ascii="Times New Roman" w:hAnsi="Times New Roman" w:eastAsia="黑体"/>
          <w:b w:val="0"/>
          <w:color w:val="000000"/>
          <w:sz w:val="30"/>
          <w:szCs w:val="32"/>
        </w:rPr>
        <w:t>7.9提前竣工</w:t>
      </w:r>
      <w:bookmarkEnd w:id="193"/>
    </w:p>
    <w:p w14:paraId="3E8E480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7.9.1 发包人要求承包人提前竣工的，发包人应通过监理人向承包人下达提前竣工指示，承包人应向发包人和监理人提交提前竣工建议书，提前竣工建议书应包括实施的方案、缩短的时间、增加的合同价格等内容。发包人接受该提前竣工建议书的，监理人应与发包人和承包人协商采取加快工程进度的措施，并修订施工进度计划，由此增加的费用由发包人承担。</w:t>
      </w:r>
      <w:r>
        <w:rPr>
          <w:rFonts w:hint="eastAsia" w:ascii="Times New Roman" w:hAnsi="Times New Roman" w:eastAsia="仿宋_GB2312"/>
          <w:color w:val="000000"/>
          <w:kern w:val="0"/>
          <w:sz w:val="30"/>
          <w:szCs w:val="32"/>
        </w:rPr>
        <w:t>承包人认为提前竣工指示无法执行的，应向监理人和发包人提出书面异议，发包人和监理人应在收到异议后7天内予以答复。任何情况下，发包人不得压缩合理工期。</w:t>
      </w:r>
    </w:p>
    <w:p w14:paraId="6336A90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7.9.2 发包人要求承包人提前竣工，或承包人提出提前竣工的建议能够给发包人带来效益的，合同当事人可以在专用合同条款中约定提前竣工的奖励。</w:t>
      </w:r>
    </w:p>
    <w:p w14:paraId="17465A17">
      <w:pPr>
        <w:pStyle w:val="5"/>
        <w:spacing w:before="120" w:after="120" w:line="360" w:lineRule="auto"/>
        <w:rPr>
          <w:rFonts w:ascii="Times New Roman" w:hAnsi="Times New Roman" w:eastAsia="黑体"/>
          <w:b w:val="0"/>
          <w:color w:val="000000"/>
          <w:sz w:val="32"/>
          <w:szCs w:val="32"/>
        </w:rPr>
      </w:pPr>
      <w:bookmarkStart w:id="194" w:name="_Toc351203552"/>
      <w:r>
        <w:rPr>
          <w:rFonts w:ascii="Times New Roman" w:hAnsi="Times New Roman" w:eastAsia="黑体"/>
          <w:b w:val="0"/>
          <w:color w:val="000000"/>
          <w:sz w:val="32"/>
          <w:szCs w:val="32"/>
        </w:rPr>
        <w:t>8</w:t>
      </w:r>
      <w:bookmarkStart w:id="195" w:name="_Toc296346559"/>
      <w:bookmarkStart w:id="196" w:name="_Toc296503058"/>
      <w:bookmarkStart w:id="197" w:name="_Toc337558776"/>
      <w:r>
        <w:rPr>
          <w:rFonts w:ascii="Times New Roman" w:hAnsi="Times New Roman" w:eastAsia="黑体"/>
          <w:b w:val="0"/>
          <w:color w:val="000000"/>
          <w:sz w:val="32"/>
          <w:szCs w:val="32"/>
        </w:rPr>
        <w:t>. 材料与设备</w:t>
      </w:r>
      <w:bookmarkEnd w:id="194"/>
    </w:p>
    <w:bookmarkEnd w:id="195"/>
    <w:bookmarkEnd w:id="196"/>
    <w:bookmarkEnd w:id="197"/>
    <w:p w14:paraId="6953BD14">
      <w:pPr>
        <w:pStyle w:val="6"/>
        <w:spacing w:before="120" w:after="120" w:line="360" w:lineRule="auto"/>
        <w:ind w:firstLine="600" w:firstLineChars="200"/>
        <w:rPr>
          <w:rFonts w:ascii="Times New Roman" w:hAnsi="Times New Roman" w:eastAsia="黑体"/>
          <w:b w:val="0"/>
          <w:color w:val="000000"/>
          <w:sz w:val="30"/>
          <w:szCs w:val="32"/>
        </w:rPr>
      </w:pPr>
      <w:bookmarkStart w:id="198" w:name="_Toc351203553"/>
      <w:r>
        <w:rPr>
          <w:rFonts w:ascii="Times New Roman" w:hAnsi="Times New Roman" w:eastAsia="黑体"/>
          <w:b w:val="0"/>
          <w:color w:val="000000"/>
          <w:sz w:val="30"/>
          <w:szCs w:val="32"/>
        </w:rPr>
        <w:t>8</w:t>
      </w:r>
      <w:bookmarkStart w:id="199" w:name="_Toc296346560"/>
      <w:bookmarkStart w:id="200" w:name="_Toc296503059"/>
      <w:bookmarkStart w:id="201" w:name="_Toc337558777"/>
      <w:bookmarkStart w:id="202" w:name="_Toc468936960"/>
      <w:r>
        <w:rPr>
          <w:rFonts w:ascii="Times New Roman" w:hAnsi="Times New Roman" w:eastAsia="黑体"/>
          <w:b w:val="0"/>
          <w:color w:val="000000"/>
          <w:sz w:val="30"/>
          <w:szCs w:val="32"/>
        </w:rPr>
        <w:t>.1发包人供应材料与工程设备</w:t>
      </w:r>
      <w:bookmarkEnd w:id="198"/>
    </w:p>
    <w:bookmarkEnd w:id="199"/>
    <w:bookmarkEnd w:id="200"/>
    <w:bookmarkEnd w:id="201"/>
    <w:p w14:paraId="481A0A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发包人自行供应材料、工程设备的，应在签订合同时在专用合同条款的附件《发包人供应材料设备一览表》中明确材料、工程设备的品种、规格、型号、数量、单价、质量等级和送达地点。</w:t>
      </w:r>
    </w:p>
    <w:p w14:paraId="077AA23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承包人应提前30天通过监理人以书面形式通知发包人供应材料与工程设备进场。承包人按照第7.2.2项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施工进度计划的修订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约定修订施工进度计划时，需同时提交经修订后的发包人供应材料与工程设备的进场计划。</w:t>
      </w:r>
    </w:p>
    <w:p w14:paraId="22931EBB">
      <w:pPr>
        <w:pStyle w:val="6"/>
        <w:spacing w:before="120" w:after="120" w:line="360" w:lineRule="auto"/>
        <w:ind w:firstLine="600" w:firstLineChars="200"/>
        <w:rPr>
          <w:rFonts w:ascii="Times New Roman" w:hAnsi="Times New Roman" w:eastAsia="仿宋_GB2312"/>
          <w:color w:val="000000"/>
          <w:sz w:val="30"/>
          <w:szCs w:val="32"/>
        </w:rPr>
      </w:pPr>
      <w:bookmarkStart w:id="203" w:name="_Toc351203554"/>
      <w:r>
        <w:rPr>
          <w:rFonts w:ascii="Times New Roman" w:hAnsi="Times New Roman" w:eastAsia="黑体"/>
          <w:b w:val="0"/>
          <w:color w:val="000000"/>
          <w:sz w:val="30"/>
          <w:szCs w:val="32"/>
        </w:rPr>
        <w:t>8</w:t>
      </w:r>
      <w:bookmarkStart w:id="204" w:name="_Toc296503060"/>
      <w:bookmarkStart w:id="205" w:name="_Toc296346561"/>
      <w:bookmarkStart w:id="206" w:name="_Toc337558778"/>
      <w:r>
        <w:rPr>
          <w:rFonts w:ascii="Times New Roman" w:hAnsi="Times New Roman" w:eastAsia="黑体"/>
          <w:b w:val="0"/>
          <w:color w:val="000000"/>
          <w:sz w:val="30"/>
          <w:szCs w:val="32"/>
        </w:rPr>
        <w:t>.2承包人采购材料与工程设备</w:t>
      </w:r>
      <w:bookmarkEnd w:id="203"/>
    </w:p>
    <w:bookmarkEnd w:id="204"/>
    <w:bookmarkEnd w:id="205"/>
    <w:bookmarkEnd w:id="206"/>
    <w:p w14:paraId="36B1F9B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负责采购材料、工程设备的，应按照设计和有关标准要求采购，并提供产品合格证明及出厂证明，对材料、工程设备质量负责。合同约定由承包人采购的材料、工程设备，发包人不得指定生产厂家或供应商，发包人违反本款约定指定生产厂家或供应商的，承包人有权拒绝，并由发包人承担</w:t>
      </w:r>
      <w:r>
        <w:rPr>
          <w:rFonts w:hint="eastAsia" w:ascii="Times New Roman" w:hAnsi="Times New Roman" w:eastAsia="仿宋_GB2312"/>
          <w:color w:val="000000"/>
          <w:kern w:val="0"/>
          <w:sz w:val="30"/>
          <w:szCs w:val="32"/>
        </w:rPr>
        <w:t>相应责任</w:t>
      </w:r>
      <w:r>
        <w:rPr>
          <w:rFonts w:ascii="Times New Roman" w:hAnsi="Times New Roman" w:eastAsia="仿宋_GB2312"/>
          <w:color w:val="000000"/>
          <w:kern w:val="0"/>
          <w:sz w:val="30"/>
          <w:szCs w:val="32"/>
        </w:rPr>
        <w:t>。</w:t>
      </w:r>
    </w:p>
    <w:p w14:paraId="3BC54A48">
      <w:pPr>
        <w:pStyle w:val="6"/>
        <w:spacing w:before="120" w:after="120" w:line="360" w:lineRule="auto"/>
        <w:ind w:firstLine="600" w:firstLineChars="200"/>
        <w:rPr>
          <w:rFonts w:ascii="Times New Roman" w:hAnsi="Times New Roman" w:eastAsia="黑体"/>
          <w:b w:val="0"/>
          <w:color w:val="000000"/>
          <w:sz w:val="30"/>
          <w:szCs w:val="32"/>
        </w:rPr>
      </w:pPr>
      <w:bookmarkStart w:id="207" w:name="_Toc351203555"/>
      <w:r>
        <w:rPr>
          <w:rFonts w:ascii="Times New Roman" w:hAnsi="Times New Roman" w:eastAsia="黑体"/>
          <w:b w:val="0"/>
          <w:color w:val="000000"/>
          <w:sz w:val="30"/>
          <w:szCs w:val="32"/>
        </w:rPr>
        <w:t>8</w:t>
      </w:r>
      <w:bookmarkStart w:id="208" w:name="_Toc296346562"/>
      <w:bookmarkStart w:id="209" w:name="_Toc296503061"/>
      <w:bookmarkStart w:id="210" w:name="_Toc337558779"/>
      <w:r>
        <w:rPr>
          <w:rFonts w:ascii="Times New Roman" w:hAnsi="Times New Roman" w:eastAsia="黑体"/>
          <w:b w:val="0"/>
          <w:color w:val="000000"/>
          <w:sz w:val="30"/>
          <w:szCs w:val="32"/>
        </w:rPr>
        <w:t>.3材料与工程设备的接收与拒收</w:t>
      </w:r>
      <w:bookmarkEnd w:id="207"/>
    </w:p>
    <w:bookmarkEnd w:id="208"/>
    <w:bookmarkEnd w:id="209"/>
    <w:bookmarkEnd w:id="210"/>
    <w:p w14:paraId="6D0DAD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8.3.1 发包人应按《发包人供应材料设备一览表》约定的内容提供材料和工程设备，并向承包人提供产品合格证明及出厂证明，对其质量负责。发包人应提前24小时以书面形式通知承包人、监理人材料和工程设备到货时间，承包人负责材料和工程设备的清点、检验和接收。</w:t>
      </w:r>
    </w:p>
    <w:p w14:paraId="5BE2FAF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发包人提供的材料和工程设备的规格、数量或质量不符合合同约定的，或因发包人原因导致交货日期延误或交货地点变更等情况的，按照第16.1款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约定办理。</w:t>
      </w:r>
    </w:p>
    <w:p w14:paraId="27A3B13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8.3.2 承包人采购的材料和工程设备，应保证产品质量合格，承包人应在材料和工程设备到货前24小时通知监理人检验。承</w:t>
      </w:r>
      <w:bookmarkStart w:id="211" w:name="_Toc250655469"/>
      <w:r>
        <w:rPr>
          <w:rFonts w:ascii="Times New Roman" w:hAnsi="Times New Roman" w:eastAsia="仿宋_GB2312"/>
          <w:color w:val="000000"/>
          <w:kern w:val="0"/>
          <w:sz w:val="30"/>
          <w:szCs w:val="32"/>
        </w:rPr>
        <w:t>包人进行永久设备、材料的制造和生产的，应符合相关质量标准，并向监理人提交材料的样本以及有关资料，并应在使用该材料或工程设备之前获得监理人同意。</w:t>
      </w:r>
    </w:p>
    <w:bookmarkEnd w:id="211"/>
    <w:p w14:paraId="1179DA39">
      <w:pPr>
        <w:autoSpaceDE w:val="0"/>
        <w:autoSpaceDN w:val="0"/>
        <w:adjustRightInd w:val="0"/>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承包人采购的材料和工程设备不符合设计或有关标准要求时，承包人应在监理人要求的合理期限内将不符合设计或有关标准要求的材料、工程设备运出施工现场，并重新采购符合要求的材料、工程设备，由此增加的费用和（或）延误的工期，由承包人承担。</w:t>
      </w:r>
    </w:p>
    <w:p w14:paraId="0A05B289">
      <w:pPr>
        <w:pStyle w:val="6"/>
        <w:spacing w:before="120" w:after="120" w:line="360" w:lineRule="auto"/>
        <w:ind w:firstLine="600" w:firstLineChars="200"/>
        <w:rPr>
          <w:rFonts w:ascii="Times New Roman" w:hAnsi="Times New Roman" w:eastAsia="黑体"/>
          <w:b w:val="0"/>
          <w:color w:val="000000"/>
          <w:sz w:val="30"/>
          <w:szCs w:val="32"/>
        </w:rPr>
      </w:pPr>
      <w:bookmarkStart w:id="212" w:name="_Toc351203556"/>
      <w:r>
        <w:rPr>
          <w:rFonts w:ascii="Times New Roman" w:hAnsi="Times New Roman" w:eastAsia="黑体"/>
          <w:b w:val="0"/>
          <w:color w:val="000000"/>
          <w:sz w:val="30"/>
          <w:szCs w:val="32"/>
        </w:rPr>
        <w:t>8</w:t>
      </w:r>
      <w:bookmarkStart w:id="213" w:name="_Toc296346563"/>
      <w:bookmarkStart w:id="214" w:name="_Toc296503062"/>
      <w:bookmarkStart w:id="215" w:name="_Toc337558780"/>
      <w:r>
        <w:rPr>
          <w:rFonts w:ascii="Times New Roman" w:hAnsi="Times New Roman" w:eastAsia="黑体"/>
          <w:b w:val="0"/>
          <w:color w:val="000000"/>
          <w:sz w:val="30"/>
          <w:szCs w:val="32"/>
        </w:rPr>
        <w:t>.4材料与工程设备的保管与使用</w:t>
      </w:r>
      <w:bookmarkEnd w:id="212"/>
    </w:p>
    <w:bookmarkEnd w:id="213"/>
    <w:bookmarkEnd w:id="214"/>
    <w:bookmarkEnd w:id="215"/>
    <w:p w14:paraId="4CFD92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8.4.1 发包人供应</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283555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承包人清点后由承包人妥善保管，保管费用由发包人承担，但已标价工程量清单或预算书已经列支或专用合同条款另有约定除外。因承包人原因发生丢失毁损的，由承包人负责赔偿；监理人未通知承包人清点的，承包人不负责材料和工程设备的保管，由此导致丢失毁损的由发包人负责。</w:t>
      </w:r>
    </w:p>
    <w:p w14:paraId="3B763C3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发包人供应的材料和工程设备使用前，由承包人负责检验，检验费用由发包人承担，不合格的不得使用。</w:t>
      </w:r>
    </w:p>
    <w:p w14:paraId="4FEDC1E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8.4.2 承包人采购</w:t>
      </w:r>
      <w:r>
        <w:rPr>
          <w:rFonts w:ascii="Times New Roman" w:hAnsi="Times New Roman" w:eastAsia="仿宋_GB2312"/>
          <w:color w:val="000000"/>
          <w:sz w:val="30"/>
          <w:szCs w:val="32"/>
        </w:rPr>
        <w:t>材料与</w:t>
      </w:r>
      <w:r>
        <w:rPr>
          <w:rFonts w:ascii="Times New Roman" w:hAnsi="Times New Roman" w:eastAsia="仿宋_GB2312"/>
          <w:color w:val="000000"/>
          <w:kern w:val="0"/>
          <w:sz w:val="30"/>
          <w:szCs w:val="32"/>
        </w:rPr>
        <w:t>工程</w:t>
      </w:r>
      <w:r>
        <w:rPr>
          <w:rFonts w:ascii="Times New Roman" w:hAnsi="Times New Roman" w:eastAsia="仿宋_GB2312"/>
          <w:color w:val="000000"/>
          <w:sz w:val="30"/>
          <w:szCs w:val="32"/>
        </w:rPr>
        <w:t>设备的保管与使用</w:t>
      </w:r>
    </w:p>
    <w:p w14:paraId="7F8E016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采购的材料和工程设备由承包人妥善保管，保管费用由承包人承担。法律规定材料和工程设备使用前必须进行检验或试验的，承包人应按监理人的要求进行检验或试验，检验或试验费用由承包人承担，不合格的不得使用。</w:t>
      </w:r>
    </w:p>
    <w:p w14:paraId="6A1BD5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发包人或监理人发现承包人使用不符合设计或有关标准要求的材料和工程设备时，有权要求承包人进行修复、拆除或重新采购，由此增加的费用和（或）延误的工期，由承包人承担。</w:t>
      </w:r>
    </w:p>
    <w:p w14:paraId="407DA2E3">
      <w:pPr>
        <w:pStyle w:val="6"/>
        <w:spacing w:before="120" w:after="120" w:line="360" w:lineRule="auto"/>
        <w:ind w:firstLine="600" w:firstLineChars="200"/>
        <w:rPr>
          <w:rFonts w:ascii="Times New Roman" w:hAnsi="Times New Roman" w:eastAsia="黑体"/>
          <w:b w:val="0"/>
          <w:color w:val="000000"/>
          <w:sz w:val="30"/>
          <w:szCs w:val="32"/>
        </w:rPr>
      </w:pPr>
      <w:bookmarkStart w:id="216" w:name="_Toc351203557"/>
      <w:r>
        <w:rPr>
          <w:rFonts w:ascii="Times New Roman" w:hAnsi="Times New Roman" w:eastAsia="黑体"/>
          <w:b w:val="0"/>
          <w:color w:val="000000"/>
          <w:sz w:val="30"/>
          <w:szCs w:val="32"/>
        </w:rPr>
        <w:t>8.5禁止使用不合格的材料和工程设备</w:t>
      </w:r>
      <w:bookmarkEnd w:id="216"/>
    </w:p>
    <w:p w14:paraId="224772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8.5.1 监理人有权拒绝承包人提供的不合格材料或工程设备，并要求承包人立即进行更换。监理人应在更换后再次进行检查和检验，由此增加的费用和（或）延误的工期由承包人承担。</w:t>
      </w:r>
    </w:p>
    <w:p w14:paraId="1256374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8.5.2 监理人发现承包人使用了不合格的材料和工程设备，承包人应按照监理人的指示立即改正，并禁止在工程中继续使用不合格的材料和工程设备。</w:t>
      </w:r>
    </w:p>
    <w:p w14:paraId="48C87B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8.5.3 发包人提供的材料或工程设备不符合合同要求的，承包人有权拒绝，并可要求发包人更换，由此增加的费用和（或）延误的工期由发包人承担</w:t>
      </w:r>
      <w:r>
        <w:rPr>
          <w:rFonts w:hint="eastAsia" w:ascii="Times New Roman" w:hAnsi="Times New Roman" w:eastAsia="仿宋_GB2312"/>
          <w:color w:val="000000"/>
          <w:kern w:val="0"/>
          <w:sz w:val="30"/>
          <w:szCs w:val="32"/>
        </w:rPr>
        <w:t>，并支付承包人合理的利润</w:t>
      </w:r>
      <w:r>
        <w:rPr>
          <w:rFonts w:ascii="Times New Roman" w:hAnsi="Times New Roman" w:eastAsia="仿宋_GB2312"/>
          <w:color w:val="000000"/>
          <w:kern w:val="0"/>
          <w:sz w:val="30"/>
          <w:szCs w:val="32"/>
        </w:rPr>
        <w:t>。</w:t>
      </w:r>
    </w:p>
    <w:p w14:paraId="7F754F35">
      <w:pPr>
        <w:pStyle w:val="6"/>
        <w:spacing w:before="120" w:after="120" w:line="360" w:lineRule="auto"/>
        <w:ind w:firstLine="600" w:firstLineChars="200"/>
        <w:rPr>
          <w:rFonts w:ascii="Times New Roman" w:hAnsi="Times New Roman" w:eastAsia="黑体"/>
          <w:b w:val="0"/>
          <w:color w:val="000000"/>
          <w:sz w:val="30"/>
          <w:szCs w:val="32"/>
        </w:rPr>
      </w:pPr>
      <w:bookmarkStart w:id="217" w:name="_Toc351203558"/>
      <w:r>
        <w:rPr>
          <w:rFonts w:ascii="Times New Roman" w:hAnsi="Times New Roman" w:eastAsia="黑体"/>
          <w:b w:val="0"/>
          <w:color w:val="000000"/>
          <w:sz w:val="30"/>
          <w:szCs w:val="32"/>
        </w:rPr>
        <w:t>8.6 样品</w:t>
      </w:r>
      <w:bookmarkEnd w:id="217"/>
    </w:p>
    <w:p w14:paraId="3613D44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438B6F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需要承包人报送样品的材料或工程设备，样品的种类、名称、规格、数量等要求均应在专用合同条款中约定。样品的报送程序如下：</w:t>
      </w:r>
    </w:p>
    <w:p w14:paraId="72419BA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计划采购前28天向监理人报送样品。承包人报送的样品均应来自供应材料的实际生产地，且提供的样品的规格、数量足以表明材料或工程设备的质量、型号、颜色、表面处理、质地、误差和其他要求的特征。</w:t>
      </w:r>
    </w:p>
    <w:p w14:paraId="5AD72C7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每次报送样品时应随附申报单，申报单应载明报送样品的相关数据和资料，并标明每件样品对应的图纸号，预留监理人批复意见栏。监理人应在收到承包人报送的样品后7天向承包人回复经发包人签认的样品审批意见。</w:t>
      </w:r>
    </w:p>
    <w:p w14:paraId="5D31EC0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（3）经发包人和监理人审批确认的样品</w:t>
      </w:r>
      <w:r>
        <w:rPr>
          <w:rFonts w:hint="eastAsia" w:ascii="Times New Roman" w:hAnsi="Times New Roman" w:eastAsia="仿宋_GB2312"/>
          <w:color w:val="000000"/>
          <w:kern w:val="0"/>
          <w:sz w:val="30"/>
          <w:szCs w:val="32"/>
        </w:rPr>
        <w:t>应按约定的方法封样，封存的样品</w:t>
      </w:r>
      <w:r>
        <w:rPr>
          <w:rFonts w:ascii="Times New Roman" w:hAnsi="Times New Roman" w:eastAsia="仿宋_GB2312"/>
          <w:color w:val="000000"/>
          <w:kern w:val="0"/>
          <w:sz w:val="30"/>
          <w:szCs w:val="32"/>
        </w:rPr>
        <w:t>作为检验工程相关部分的标准之一。承包人在施工过程中不得使用与样品不符的材料或工程设备。</w:t>
      </w:r>
    </w:p>
    <w:p w14:paraId="4E90FF3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（4）发包人和监理人对样品的审批确认仅为确认相关材料或工程设备的特征或用途，不得被理解为对合同的修改或改变，也并不减轻或免除承包人任何的责任和义务。</w:t>
      </w:r>
      <w:r>
        <w:rPr>
          <w:rFonts w:hint="eastAsia" w:ascii="Times New Roman" w:hAnsi="Times New Roman" w:eastAsia="仿宋_GB2312"/>
          <w:color w:val="000000"/>
          <w:kern w:val="0"/>
          <w:sz w:val="30"/>
          <w:szCs w:val="32"/>
        </w:rPr>
        <w:t>如果封存的样品修改或改变了合同约定，合同当事人应当以书面协议予以确认。</w:t>
      </w:r>
    </w:p>
    <w:p w14:paraId="7094B0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8.6.2 样品的保管</w:t>
      </w:r>
    </w:p>
    <w:p w14:paraId="14DE47F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经批准的样品应由监理人负责封存于现场，承包人应在现场为保存样品提供适当和固定的场所并保持适当和良好的存储环境条件。</w:t>
      </w:r>
    </w:p>
    <w:p w14:paraId="14CD8DE2">
      <w:pPr>
        <w:pStyle w:val="6"/>
        <w:spacing w:before="120" w:after="120" w:line="360" w:lineRule="auto"/>
        <w:ind w:firstLine="600" w:firstLineChars="200"/>
        <w:rPr>
          <w:rFonts w:ascii="Times New Roman" w:hAnsi="Times New Roman" w:eastAsia="黑体"/>
          <w:b w:val="0"/>
          <w:color w:val="000000"/>
          <w:sz w:val="30"/>
          <w:szCs w:val="32"/>
        </w:rPr>
      </w:pPr>
      <w:bookmarkStart w:id="218" w:name="_Toc351203559"/>
      <w:r>
        <w:rPr>
          <w:rFonts w:ascii="Times New Roman" w:hAnsi="Times New Roman" w:eastAsia="黑体"/>
          <w:b w:val="0"/>
          <w:color w:val="000000"/>
          <w:sz w:val="30"/>
          <w:szCs w:val="32"/>
        </w:rPr>
        <w:t>8.7材料与工程设备的替代</w:t>
      </w:r>
      <w:bookmarkEnd w:id="218"/>
    </w:p>
    <w:p w14:paraId="0B6AA0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8.7.1 出现下列情况需要使用替代材料和工程设备的，承包人应按照第8.7.2项约定的程序执行：</w:t>
      </w:r>
    </w:p>
    <w:p w14:paraId="09BCB31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（1）基准日</w:t>
      </w:r>
      <w:r>
        <w:rPr>
          <w:rFonts w:hint="eastAsia" w:ascii="Times New Roman" w:hAnsi="Times New Roman" w:eastAsia="仿宋_GB2312"/>
          <w:color w:val="000000"/>
          <w:kern w:val="0"/>
          <w:sz w:val="30"/>
          <w:szCs w:val="32"/>
        </w:rPr>
        <w:t>期</w:t>
      </w:r>
      <w:r>
        <w:rPr>
          <w:rFonts w:ascii="Times New Roman" w:hAnsi="Times New Roman" w:eastAsia="仿宋_GB2312"/>
          <w:color w:val="000000"/>
          <w:kern w:val="0"/>
          <w:sz w:val="30"/>
          <w:szCs w:val="32"/>
        </w:rPr>
        <w:t>后生效的法律规定禁止使用的；</w:t>
      </w:r>
    </w:p>
    <w:p w14:paraId="039D3D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（2）发包人要求使用替代品的；</w:t>
      </w:r>
    </w:p>
    <w:p w14:paraId="4233BA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（3）因其他原因必须使用替代品的。</w:t>
      </w:r>
    </w:p>
    <w:p w14:paraId="0D3128C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8.7.2 承包人应在使用替代材料和工程设备28天前书面通知监理人，并附下列文件：</w:t>
      </w:r>
    </w:p>
    <w:p w14:paraId="45D3BB2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（1）被替代的材料和工程设备的名称、数量、规格、型号、品牌、性能、价格及其他相关资料；</w:t>
      </w:r>
    </w:p>
    <w:p w14:paraId="0D728A5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（2）替代品的名称、数量、规格、型号、品牌、性能、价格及其他相关资料；</w:t>
      </w:r>
    </w:p>
    <w:p w14:paraId="4D2F876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（3）替代品与被替代产品之间的差异以及使用替代品可能对工程产生的影响；</w:t>
      </w:r>
    </w:p>
    <w:p w14:paraId="2A30731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（4）替代品与被替代产品的价格差异；</w:t>
      </w:r>
    </w:p>
    <w:p w14:paraId="3FE7643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（5）使用替代品的理由和原因说明；</w:t>
      </w:r>
    </w:p>
    <w:p w14:paraId="766B3C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（6）监理人要求的其他文件。</w:t>
      </w:r>
    </w:p>
    <w:p w14:paraId="51DE7C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监理人应在收到通知后14天内向承包人发出经发包人签认的书面指示；监理人逾期发出书面指示的，视为发包人和监理人同意使用替代品。</w:t>
      </w:r>
    </w:p>
    <w:p w14:paraId="710E82F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8.7.3 发包人认可使用替代材料和工程设备的，替代材料和工程设备的价格，按照已标价工程量清单或预算书相同项目的价格认定；无相同项目的，参考相似项目价格认定；</w:t>
      </w:r>
      <w:r>
        <w:rPr>
          <w:rFonts w:hint="eastAsia" w:ascii="Times New Roman" w:hAnsi="Times New Roman" w:eastAsia="仿宋_GB2312"/>
          <w:color w:val="000000"/>
          <w:kern w:val="0"/>
          <w:sz w:val="30"/>
          <w:szCs w:val="32"/>
        </w:rPr>
        <w:t>既无</w:t>
      </w:r>
      <w:r>
        <w:rPr>
          <w:rFonts w:ascii="Times New Roman" w:hAnsi="Times New Roman" w:eastAsia="仿宋_GB2312"/>
          <w:color w:val="000000"/>
          <w:kern w:val="0"/>
          <w:sz w:val="30"/>
          <w:szCs w:val="32"/>
        </w:rPr>
        <w:t>相同项目</w:t>
      </w:r>
      <w:r>
        <w:rPr>
          <w:rFonts w:hint="eastAsia" w:ascii="Times New Roman" w:hAnsi="Times New Roman" w:eastAsia="仿宋_GB2312"/>
          <w:color w:val="000000"/>
          <w:kern w:val="0"/>
          <w:sz w:val="30"/>
          <w:szCs w:val="32"/>
        </w:rPr>
        <w:t>也</w:t>
      </w:r>
      <w:r>
        <w:rPr>
          <w:rFonts w:ascii="Times New Roman" w:hAnsi="Times New Roman" w:eastAsia="仿宋_GB2312"/>
          <w:color w:val="000000"/>
          <w:kern w:val="0"/>
          <w:sz w:val="30"/>
          <w:szCs w:val="32"/>
        </w:rPr>
        <w:t>无相似项目的，</w:t>
      </w:r>
      <w:r>
        <w:rPr>
          <w:rFonts w:hint="eastAsia" w:ascii="Times New Roman" w:hAnsi="Times New Roman" w:eastAsia="仿宋_GB2312"/>
          <w:color w:val="000000"/>
          <w:kern w:val="0"/>
          <w:sz w:val="30"/>
          <w:szCs w:val="32"/>
        </w:rPr>
        <w:t>按照合理的成本与利润构成的原则，</w:t>
      </w:r>
      <w:r>
        <w:rPr>
          <w:rFonts w:ascii="Times New Roman" w:hAnsi="Times New Roman" w:eastAsia="仿宋_GB2312"/>
          <w:color w:val="000000"/>
          <w:kern w:val="0"/>
          <w:sz w:val="30"/>
          <w:szCs w:val="32"/>
        </w:rPr>
        <w:t>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确定价格。</w:t>
      </w:r>
    </w:p>
    <w:p w14:paraId="117F7E69">
      <w:pPr>
        <w:pStyle w:val="6"/>
        <w:spacing w:before="120" w:after="120" w:line="360" w:lineRule="auto"/>
        <w:ind w:firstLine="600" w:firstLineChars="200"/>
        <w:rPr>
          <w:rFonts w:ascii="Times New Roman" w:hAnsi="Times New Roman" w:eastAsia="黑体"/>
          <w:b w:val="0"/>
          <w:color w:val="000000"/>
          <w:sz w:val="30"/>
          <w:szCs w:val="32"/>
        </w:rPr>
      </w:pPr>
      <w:bookmarkStart w:id="219" w:name="_Toc351203560"/>
      <w:r>
        <w:rPr>
          <w:rFonts w:ascii="Times New Roman" w:hAnsi="Times New Roman" w:eastAsia="黑体"/>
          <w:b w:val="0"/>
          <w:color w:val="000000"/>
          <w:sz w:val="30"/>
          <w:szCs w:val="32"/>
        </w:rPr>
        <w:t>8.8施工设备和临时设施</w:t>
      </w:r>
      <w:bookmarkEnd w:id="219"/>
    </w:p>
    <w:p w14:paraId="383CBF4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8.8.1 承包人提供的施工设备和临时设施</w:t>
      </w:r>
    </w:p>
    <w:p w14:paraId="23ED20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承包人应按合同进度计划的要求，及时配置施工设备和修建临时设施。进入施工场地的承包人设备需经监理人核查后才能投入使用。承包人更换合同约定的承包人设备的，应报监理人批准。</w:t>
      </w:r>
    </w:p>
    <w:p w14:paraId="0CEC87E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除专用合同条款另有约定外，承包人应自行承担修建临时设施的费用，需要临时占地的，应由发包人办理申请手续并承担相应费用。</w:t>
      </w:r>
    </w:p>
    <w:p w14:paraId="1F93FF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8.8.2发包人提供的施工设备和临时设施</w:t>
      </w:r>
    </w:p>
    <w:p w14:paraId="173B96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发包人提供的施工设备或临时设施在专用合同条款中约定。</w:t>
      </w:r>
    </w:p>
    <w:p w14:paraId="300A6B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8.8.3要求承包人增加或更换施工设备</w:t>
      </w:r>
    </w:p>
    <w:p w14:paraId="7C2C24F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承包人使用的施工设备不能满足合同进度计划和（或）质量要求时，监理人有权要求承包人增加或更换施工设备，承包人应及时增加或更换，由此增加的费用和（或）延误的工期由承包人承担。</w:t>
      </w:r>
    </w:p>
    <w:p w14:paraId="3CB77B66">
      <w:pPr>
        <w:pStyle w:val="6"/>
        <w:spacing w:before="120" w:after="120" w:line="360" w:lineRule="auto"/>
        <w:ind w:firstLine="600" w:firstLineChars="200"/>
        <w:rPr>
          <w:rFonts w:ascii="Times New Roman" w:hAnsi="Times New Roman" w:eastAsia="黑体"/>
          <w:b w:val="0"/>
          <w:color w:val="000000"/>
          <w:sz w:val="30"/>
          <w:szCs w:val="32"/>
        </w:rPr>
      </w:pPr>
      <w:bookmarkStart w:id="220" w:name="_Toc351203561"/>
      <w:r>
        <w:rPr>
          <w:rFonts w:ascii="Times New Roman" w:hAnsi="Times New Roman" w:eastAsia="黑体"/>
          <w:b w:val="0"/>
          <w:color w:val="000000"/>
          <w:sz w:val="30"/>
          <w:szCs w:val="32"/>
        </w:rPr>
        <w:t>8</w:t>
      </w:r>
      <w:bookmarkStart w:id="221" w:name="_Toc296346564"/>
      <w:bookmarkStart w:id="222" w:name="_Toc296503063"/>
      <w:bookmarkStart w:id="223" w:name="_Toc337558781"/>
      <w:r>
        <w:rPr>
          <w:rFonts w:ascii="Times New Roman" w:hAnsi="Times New Roman" w:eastAsia="黑体"/>
          <w:b w:val="0"/>
          <w:color w:val="000000"/>
          <w:sz w:val="30"/>
          <w:szCs w:val="32"/>
        </w:rPr>
        <w:t>.9材料与设备专用</w:t>
      </w:r>
      <w:bookmarkEnd w:id="220"/>
      <w:r>
        <w:rPr>
          <w:rFonts w:hint="eastAsia" w:ascii="Times New Roman" w:hAnsi="Times New Roman" w:eastAsia="黑体"/>
          <w:b w:val="0"/>
          <w:color w:val="000000"/>
          <w:sz w:val="30"/>
          <w:szCs w:val="32"/>
        </w:rPr>
        <w:t>要求</w:t>
      </w:r>
    </w:p>
    <w:bookmarkEnd w:id="221"/>
    <w:bookmarkEnd w:id="222"/>
    <w:bookmarkEnd w:id="223"/>
    <w:p w14:paraId="1BB805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承包人运入施工现场的材料、工程设备、施工设备以及在施工场地建设的临时设施，包括备品备件、安装工具与资料，必须专用于工程。未经发包人批准，承包人不得运出施工现场或挪作他用；</w:t>
      </w:r>
      <w:bookmarkEnd w:id="202"/>
      <w:r>
        <w:rPr>
          <w:rFonts w:ascii="Times New Roman" w:hAnsi="Times New Roman" w:eastAsia="仿宋_GB2312"/>
          <w:color w:val="000000"/>
          <w:kern w:val="0"/>
          <w:sz w:val="30"/>
          <w:szCs w:val="32"/>
        </w:rPr>
        <w:t>经发包人批准，承包人可以根据施工进度计划撤走闲置的施工设备和其他物品。</w:t>
      </w:r>
    </w:p>
    <w:p w14:paraId="3879CCEC">
      <w:pPr>
        <w:pStyle w:val="5"/>
        <w:spacing w:before="120" w:after="120" w:line="360" w:lineRule="auto"/>
        <w:rPr>
          <w:rFonts w:ascii="Times New Roman" w:hAnsi="Times New Roman" w:eastAsia="黑体"/>
          <w:b w:val="0"/>
          <w:color w:val="000000"/>
          <w:sz w:val="32"/>
          <w:szCs w:val="32"/>
        </w:rPr>
      </w:pPr>
      <w:bookmarkStart w:id="224" w:name="_Toc351203562"/>
      <w:r>
        <w:rPr>
          <w:rFonts w:ascii="Times New Roman" w:hAnsi="Times New Roman" w:eastAsia="黑体"/>
          <w:b w:val="0"/>
          <w:color w:val="000000"/>
          <w:sz w:val="32"/>
          <w:szCs w:val="32"/>
        </w:rPr>
        <w:t>9</w:t>
      </w:r>
      <w:bookmarkStart w:id="225" w:name="_Toc337558782"/>
      <w:bookmarkStart w:id="226" w:name="_Toc296503083"/>
      <w:bookmarkStart w:id="227" w:name="_Toc296346584"/>
      <w:r>
        <w:rPr>
          <w:rFonts w:ascii="Times New Roman" w:hAnsi="Times New Roman" w:eastAsia="黑体"/>
          <w:b w:val="0"/>
          <w:color w:val="000000"/>
          <w:sz w:val="32"/>
          <w:szCs w:val="32"/>
        </w:rPr>
        <w:t>. 试验与检验</w:t>
      </w:r>
      <w:bookmarkEnd w:id="224"/>
    </w:p>
    <w:bookmarkEnd w:id="225"/>
    <w:p w14:paraId="60B71A7E">
      <w:pPr>
        <w:pStyle w:val="6"/>
        <w:spacing w:before="120" w:after="120" w:line="360" w:lineRule="auto"/>
        <w:ind w:firstLine="600" w:firstLineChars="200"/>
        <w:rPr>
          <w:rFonts w:ascii="Times New Roman" w:hAnsi="Times New Roman" w:eastAsia="黑体"/>
          <w:b w:val="0"/>
          <w:color w:val="000000"/>
          <w:sz w:val="30"/>
          <w:szCs w:val="32"/>
        </w:rPr>
      </w:pPr>
      <w:bookmarkStart w:id="228" w:name="_Toc351203563"/>
      <w:r>
        <w:rPr>
          <w:rFonts w:ascii="Times New Roman" w:hAnsi="Times New Roman" w:eastAsia="黑体"/>
          <w:b w:val="0"/>
          <w:color w:val="000000"/>
          <w:sz w:val="30"/>
          <w:szCs w:val="32"/>
        </w:rPr>
        <w:t>9</w:t>
      </w:r>
      <w:bookmarkStart w:id="229" w:name="_Toc337558783"/>
      <w:r>
        <w:rPr>
          <w:rFonts w:ascii="Times New Roman" w:hAnsi="Times New Roman" w:eastAsia="黑体"/>
          <w:b w:val="0"/>
          <w:color w:val="000000"/>
          <w:sz w:val="30"/>
          <w:szCs w:val="32"/>
        </w:rPr>
        <w:t>.1试验设备与试验人员</w:t>
      </w:r>
      <w:bookmarkEnd w:id="228"/>
    </w:p>
    <w:bookmarkEnd w:id="229"/>
    <w:p w14:paraId="2933E7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9.1.1 承包人根据合同约定或监理人指示进行的现场材料试验，应由承包人提供试验场所、试验人员、试验设备以及其他必要的试验条件。监理人在必要时可以使用承包人提供的试验场所、试验设备以及其他试验条件，进行以工程质量检查为目的的材料复核试验，承包人应予以协助。</w:t>
      </w:r>
    </w:p>
    <w:p w14:paraId="4619EA4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9.1.2 承包人应按专用合同条款的约定提供试验设备、取样装置、试验场所和试验条件，并向监理人提交相应进场计划表。</w:t>
      </w:r>
    </w:p>
    <w:p w14:paraId="697CDD7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承包人配置的试验设备要符合相应试验规程的要求并经过具有资质的检测单位检测，且在正式使用该试验设备前，需要经过监理人与承包人共同校定。</w:t>
      </w:r>
    </w:p>
    <w:p w14:paraId="600409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9.1.3 承包人应向监理人提交试验人员的名单及其岗位、资格等证明资料，试验人员必须能够熟练进行相应的检测试验，承包人对试验人员的试验程序和试验结果的正确性负责。</w:t>
      </w:r>
    </w:p>
    <w:p w14:paraId="29471D40">
      <w:pPr>
        <w:pStyle w:val="6"/>
        <w:spacing w:before="120" w:after="120" w:line="360" w:lineRule="auto"/>
        <w:ind w:firstLine="600" w:firstLineChars="200"/>
        <w:rPr>
          <w:rFonts w:ascii="Times New Roman" w:hAnsi="Times New Roman" w:eastAsia="黑体"/>
          <w:b w:val="0"/>
          <w:color w:val="000000"/>
          <w:sz w:val="30"/>
          <w:szCs w:val="32"/>
        </w:rPr>
      </w:pPr>
      <w:bookmarkStart w:id="230" w:name="_Toc351203564"/>
      <w:r>
        <w:rPr>
          <w:rFonts w:ascii="Times New Roman" w:hAnsi="Times New Roman" w:eastAsia="黑体"/>
          <w:b w:val="0"/>
          <w:color w:val="000000"/>
          <w:sz w:val="30"/>
          <w:szCs w:val="32"/>
        </w:rPr>
        <w:t>9</w:t>
      </w:r>
      <w:bookmarkStart w:id="231" w:name="_Toc337558784"/>
      <w:r>
        <w:rPr>
          <w:rFonts w:ascii="Times New Roman" w:hAnsi="Times New Roman" w:eastAsia="黑体"/>
          <w:b w:val="0"/>
          <w:color w:val="000000"/>
          <w:sz w:val="30"/>
          <w:szCs w:val="32"/>
        </w:rPr>
        <w:t>.2取样</w:t>
      </w:r>
      <w:bookmarkEnd w:id="230"/>
    </w:p>
    <w:bookmarkEnd w:id="231"/>
    <w:p w14:paraId="08A9069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试验属于自检性质的，承包人可以单独取样。试验属于监理人抽检性质的，可由监理人取样，也可由承包人的试验人员在监理人的监督下取样。</w:t>
      </w:r>
    </w:p>
    <w:p w14:paraId="2FDAC0A9">
      <w:pPr>
        <w:pStyle w:val="6"/>
        <w:spacing w:before="120" w:after="120" w:line="360" w:lineRule="auto"/>
        <w:ind w:firstLine="600" w:firstLineChars="200"/>
        <w:rPr>
          <w:rFonts w:ascii="Times New Roman" w:hAnsi="Times New Roman" w:eastAsia="黑体"/>
          <w:b w:val="0"/>
          <w:color w:val="000000"/>
          <w:sz w:val="30"/>
          <w:szCs w:val="32"/>
        </w:rPr>
      </w:pPr>
      <w:bookmarkStart w:id="232" w:name="_Toc351203565"/>
      <w:r>
        <w:rPr>
          <w:rFonts w:ascii="Times New Roman" w:hAnsi="Times New Roman" w:eastAsia="黑体"/>
          <w:b w:val="0"/>
          <w:color w:val="000000"/>
          <w:sz w:val="30"/>
          <w:szCs w:val="32"/>
        </w:rPr>
        <w:t>9</w:t>
      </w:r>
      <w:bookmarkStart w:id="233" w:name="_Toc337558785"/>
      <w:r>
        <w:rPr>
          <w:rFonts w:ascii="Times New Roman" w:hAnsi="Times New Roman" w:eastAsia="黑体"/>
          <w:b w:val="0"/>
          <w:color w:val="000000"/>
          <w:sz w:val="30"/>
          <w:szCs w:val="32"/>
        </w:rPr>
        <w:t>.3材料、工程设备和工程的试验和检验</w:t>
      </w:r>
      <w:bookmarkEnd w:id="232"/>
    </w:p>
    <w:bookmarkEnd w:id="233"/>
    <w:p w14:paraId="2BD051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9.3.1承包人应按合同约定进行材料、工程设备和工程的试验和检验，并为监理人对上述材料、工程设备和工程的质量检查提供必要的试验资料和原始记录。按合同约定应由监理人与承包人共同进行试验和检验的，由承包人负责提供必要的试验资料和原始记录。</w:t>
      </w:r>
    </w:p>
    <w:p w14:paraId="12D461E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9.3.2试验属于自检性质的，承包人可以单独进行试验。试验属于监理人抽检性质的，监理人可以单独进行试验，也可由承包人与监理人共同进行。承包人对由监理人单独进行的试验结果有异议的，可以申请重新共同进行试验。约定共同进行试验的，监理人未按照约定参加试验的，承包人可自行试验，并将试验结果报送监理人，监理人应承认该试验结果。</w:t>
      </w:r>
    </w:p>
    <w:p w14:paraId="12F6945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9.3.3监理人对承包人的试验和检验结果有异议的，或为查清承包人试验和检验成果的可靠性要求承包人重新试验和检验的，可由监理人与承包人共同进行。重新试验和检验的结果证明该项材料、工程设备或工程的质量不符合合同要求的，由此增加的费用和（或）延误的工期由承包人承担；重新试验和检验结果证明该项材料、工程设备和工程符合合同要求的，由此增加的费用和（或）延误的工期由发包人承担。</w:t>
      </w:r>
    </w:p>
    <w:p w14:paraId="5CA733D4">
      <w:pPr>
        <w:pStyle w:val="6"/>
        <w:spacing w:before="120" w:after="120" w:line="360" w:lineRule="auto"/>
        <w:ind w:firstLine="600" w:firstLineChars="200"/>
        <w:rPr>
          <w:rFonts w:ascii="Times New Roman" w:hAnsi="Times New Roman" w:eastAsia="黑体"/>
          <w:b w:val="0"/>
          <w:color w:val="000000"/>
          <w:sz w:val="30"/>
          <w:szCs w:val="32"/>
        </w:rPr>
      </w:pPr>
      <w:bookmarkStart w:id="234" w:name="_Toc351203566"/>
      <w:r>
        <w:rPr>
          <w:rFonts w:ascii="Times New Roman" w:hAnsi="Times New Roman" w:eastAsia="黑体"/>
          <w:b w:val="0"/>
          <w:color w:val="000000"/>
          <w:sz w:val="30"/>
          <w:szCs w:val="32"/>
        </w:rPr>
        <w:t>9</w:t>
      </w:r>
      <w:bookmarkStart w:id="235" w:name="_Toc337558786"/>
      <w:r>
        <w:rPr>
          <w:rFonts w:ascii="Times New Roman" w:hAnsi="Times New Roman" w:eastAsia="黑体"/>
          <w:b w:val="0"/>
          <w:color w:val="000000"/>
          <w:sz w:val="30"/>
          <w:szCs w:val="32"/>
        </w:rPr>
        <w:t>.4现场工艺试验</w:t>
      </w:r>
      <w:bookmarkEnd w:id="234"/>
    </w:p>
    <w:bookmarkEnd w:id="235"/>
    <w:p w14:paraId="0D2E277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承包人应按合同约定或监理人指示进行现场工艺试验。对大型的现场工艺试验，监理人认为必要时，承包人应根据监理人提出的工艺试验要求，编制工艺试验措施计划，报送监理人审查。</w:t>
      </w:r>
    </w:p>
    <w:p w14:paraId="32318C52">
      <w:pPr>
        <w:pStyle w:val="5"/>
        <w:spacing w:before="120" w:after="120" w:line="360" w:lineRule="auto"/>
        <w:rPr>
          <w:rFonts w:ascii="Times New Roman" w:hAnsi="Times New Roman" w:eastAsia="黑体"/>
          <w:b w:val="0"/>
          <w:color w:val="000000"/>
          <w:sz w:val="32"/>
          <w:szCs w:val="32"/>
        </w:rPr>
      </w:pPr>
      <w:bookmarkStart w:id="236" w:name="_Toc351203567"/>
      <w:r>
        <w:rPr>
          <w:rFonts w:ascii="Times New Roman" w:hAnsi="Times New Roman" w:eastAsia="黑体"/>
          <w:b w:val="0"/>
          <w:color w:val="000000"/>
          <w:sz w:val="32"/>
          <w:szCs w:val="32"/>
        </w:rPr>
        <w:t>1</w:t>
      </w:r>
      <w:bookmarkStart w:id="237" w:name="_Toc337558787"/>
      <w:r>
        <w:rPr>
          <w:rFonts w:ascii="Times New Roman" w:hAnsi="Times New Roman" w:eastAsia="黑体"/>
          <w:b w:val="0"/>
          <w:color w:val="000000"/>
          <w:sz w:val="32"/>
          <w:szCs w:val="32"/>
        </w:rPr>
        <w:t>0. 变更</w:t>
      </w:r>
      <w:bookmarkEnd w:id="226"/>
      <w:bookmarkEnd w:id="227"/>
      <w:bookmarkEnd w:id="236"/>
    </w:p>
    <w:bookmarkEnd w:id="237"/>
    <w:p w14:paraId="57F2E2DD">
      <w:pPr>
        <w:pStyle w:val="6"/>
        <w:spacing w:before="120" w:after="120" w:line="360" w:lineRule="auto"/>
        <w:ind w:firstLine="600" w:firstLineChars="200"/>
        <w:rPr>
          <w:rFonts w:ascii="Times New Roman" w:hAnsi="Times New Roman" w:eastAsia="黑体"/>
          <w:b w:val="0"/>
          <w:color w:val="000000"/>
          <w:sz w:val="30"/>
          <w:szCs w:val="32"/>
        </w:rPr>
      </w:pPr>
      <w:bookmarkStart w:id="238" w:name="_Toc351203568"/>
      <w:r>
        <w:rPr>
          <w:rFonts w:ascii="Times New Roman" w:hAnsi="Times New Roman" w:eastAsia="黑体"/>
          <w:b w:val="0"/>
          <w:color w:val="000000"/>
          <w:sz w:val="30"/>
          <w:szCs w:val="32"/>
        </w:rPr>
        <w:t>1</w:t>
      </w:r>
      <w:bookmarkStart w:id="239" w:name="_Toc296346585"/>
      <w:bookmarkStart w:id="240" w:name="_Toc296503084"/>
      <w:bookmarkStart w:id="241" w:name="_Toc337558788"/>
      <w:r>
        <w:rPr>
          <w:rFonts w:ascii="Times New Roman" w:hAnsi="Times New Roman" w:eastAsia="黑体"/>
          <w:b w:val="0"/>
          <w:color w:val="000000"/>
          <w:sz w:val="30"/>
          <w:szCs w:val="32"/>
        </w:rPr>
        <w:t>0.1变更的范围</w:t>
      </w:r>
      <w:bookmarkEnd w:id="238"/>
    </w:p>
    <w:bookmarkEnd w:id="239"/>
    <w:bookmarkEnd w:id="240"/>
    <w:bookmarkEnd w:id="241"/>
    <w:p w14:paraId="1AC343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除专用合同条款另有约定外，合同履行过程中发生以下情形的，应按照本条约定进行变更：</w:t>
      </w:r>
    </w:p>
    <w:p w14:paraId="50BB78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（1）增加或减少合同中任何工作，或追加额外的工作；</w:t>
      </w:r>
    </w:p>
    <w:p w14:paraId="60DD130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（2）取消合同中任何工作，但转由他人实施的工作除外；</w:t>
      </w:r>
    </w:p>
    <w:p w14:paraId="3A06ED0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（3）改变合同中任何工作的质量标准或其他特性；</w:t>
      </w:r>
    </w:p>
    <w:p w14:paraId="55A911D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（4）改变工程的基线、标高、位置和尺寸；</w:t>
      </w:r>
    </w:p>
    <w:p w14:paraId="04BC75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（5）改变工程的时间安排或实施顺序。</w:t>
      </w:r>
    </w:p>
    <w:p w14:paraId="187AB3B8">
      <w:pPr>
        <w:pStyle w:val="6"/>
        <w:spacing w:before="120" w:after="120" w:line="360" w:lineRule="auto"/>
        <w:ind w:firstLine="600" w:firstLineChars="200"/>
        <w:rPr>
          <w:rFonts w:ascii="Times New Roman" w:hAnsi="Times New Roman" w:eastAsia="黑体"/>
          <w:b w:val="0"/>
          <w:color w:val="000000"/>
          <w:sz w:val="30"/>
          <w:szCs w:val="32"/>
        </w:rPr>
      </w:pPr>
      <w:bookmarkStart w:id="242" w:name="_Toc351203569"/>
      <w:r>
        <w:rPr>
          <w:rFonts w:ascii="Times New Roman" w:hAnsi="Times New Roman" w:eastAsia="黑体"/>
          <w:b w:val="0"/>
          <w:color w:val="000000"/>
          <w:sz w:val="30"/>
          <w:szCs w:val="32"/>
        </w:rPr>
        <w:t>1</w:t>
      </w:r>
      <w:bookmarkStart w:id="243" w:name="_Toc296346586"/>
      <w:bookmarkStart w:id="244" w:name="_Toc296503085"/>
      <w:bookmarkStart w:id="245" w:name="_Toc337558789"/>
      <w:r>
        <w:rPr>
          <w:rFonts w:ascii="Times New Roman" w:hAnsi="Times New Roman" w:eastAsia="黑体"/>
          <w:b w:val="0"/>
          <w:color w:val="000000"/>
          <w:sz w:val="30"/>
          <w:szCs w:val="32"/>
        </w:rPr>
        <w:t>0.2变更权</w:t>
      </w:r>
      <w:bookmarkEnd w:id="242"/>
    </w:p>
    <w:bookmarkEnd w:id="243"/>
    <w:bookmarkEnd w:id="244"/>
    <w:bookmarkEnd w:id="245"/>
    <w:p w14:paraId="751B2E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均可以提出变更。变更指示均通过监理人发出，监理人发出变更指示前应征得发包人同意。承包人收到经发包人签认的变更指示后，方可实施变更。未经许可，承包人不得擅自对工程的任何部分进行变更。</w:t>
      </w:r>
    </w:p>
    <w:p w14:paraId="4462B4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涉及设计变更的，应由设计人提供变更后的图纸和说明。如变更超过原设计标准或批准的建设规模时，发包人应及时办理规划、设计变更</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审批手续。</w:t>
      </w:r>
    </w:p>
    <w:p w14:paraId="329E0989">
      <w:pPr>
        <w:pStyle w:val="6"/>
        <w:spacing w:before="120" w:after="120" w:line="360" w:lineRule="auto"/>
        <w:ind w:firstLine="600" w:firstLineChars="200"/>
        <w:rPr>
          <w:rFonts w:ascii="Times New Roman" w:hAnsi="Times New Roman" w:eastAsia="黑体"/>
          <w:b w:val="0"/>
          <w:color w:val="000000"/>
          <w:sz w:val="30"/>
          <w:szCs w:val="32"/>
        </w:rPr>
      </w:pPr>
      <w:bookmarkStart w:id="246" w:name="_Toc351203570"/>
      <w:r>
        <w:rPr>
          <w:rFonts w:ascii="Times New Roman" w:hAnsi="Times New Roman" w:eastAsia="黑体"/>
          <w:b w:val="0"/>
          <w:color w:val="000000"/>
          <w:sz w:val="30"/>
          <w:szCs w:val="32"/>
        </w:rPr>
        <w:t>1</w:t>
      </w:r>
      <w:bookmarkStart w:id="247" w:name="_Toc337558790"/>
      <w:bookmarkStart w:id="248" w:name="_Toc296503086"/>
      <w:bookmarkStart w:id="249" w:name="_Toc296346587"/>
      <w:r>
        <w:rPr>
          <w:rFonts w:ascii="Times New Roman" w:hAnsi="Times New Roman" w:eastAsia="黑体"/>
          <w:b w:val="0"/>
          <w:color w:val="000000"/>
          <w:sz w:val="30"/>
          <w:szCs w:val="32"/>
        </w:rPr>
        <w:t>0.3变更程序</w:t>
      </w:r>
      <w:bookmarkEnd w:id="246"/>
    </w:p>
    <w:bookmarkEnd w:id="247"/>
    <w:bookmarkEnd w:id="248"/>
    <w:bookmarkEnd w:id="249"/>
    <w:p w14:paraId="2F4EE77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.3.1 发包人提出变更</w:t>
      </w:r>
    </w:p>
    <w:p w14:paraId="4377225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发包人提出变更的，应通过监理人向承包人发出变更指示，变更指示应说明计划变更的工程范围和变更的内容。</w:t>
      </w:r>
    </w:p>
    <w:p w14:paraId="0FCB31C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w:t>
      </w:r>
      <w:r>
        <w:rPr>
          <w:rFonts w:ascii="Times New Roman" w:hAnsi="Times New Roman" w:eastAsia="仿宋_GB2312"/>
          <w:color w:val="000000"/>
          <w:kern w:val="0"/>
          <w:sz w:val="30"/>
          <w:szCs w:val="32"/>
        </w:rPr>
        <w:t>.3.2 监理人提出变更建议</w:t>
      </w:r>
    </w:p>
    <w:p w14:paraId="0BAA872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提出变更建议的，需要向发包人以书面形式提出变更计划，说明计划变更工程范围和变更的内容、理由，以及实施该变更对合同价格和工期的影响。发包人同意变更的，由监理人向承包人发出变更指示。发包人不同意变更的，监理人无权擅自发出变更指示。</w:t>
      </w:r>
    </w:p>
    <w:p w14:paraId="1DACE297">
      <w:pPr>
        <w:autoSpaceDE w:val="0"/>
        <w:autoSpaceDN w:val="0"/>
        <w:adjustRightInd w:val="0"/>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10.3.3 变更执行</w:t>
      </w:r>
    </w:p>
    <w:p w14:paraId="34C0B5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承包人收到监理人下达的变更指示后，</w:t>
      </w:r>
      <w:r>
        <w:rPr>
          <w:rFonts w:hint="eastAsia" w:ascii="Times New Roman" w:hAnsi="Times New Roman" w:eastAsia="仿宋_GB2312"/>
          <w:color w:val="000000"/>
          <w:kern w:val="0"/>
          <w:sz w:val="30"/>
          <w:szCs w:val="32"/>
        </w:rPr>
        <w:t>认为不能执行，应立即</w:t>
      </w:r>
      <w:r>
        <w:rPr>
          <w:rFonts w:ascii="Times New Roman" w:hAnsi="Times New Roman" w:eastAsia="仿宋_GB2312"/>
          <w:color w:val="000000"/>
          <w:kern w:val="0"/>
          <w:sz w:val="30"/>
          <w:szCs w:val="32"/>
        </w:rPr>
        <w:t>提出不能执行该变更指示的理由。承包人</w:t>
      </w:r>
      <w:r>
        <w:rPr>
          <w:rFonts w:hint="eastAsia" w:ascii="Times New Roman" w:hAnsi="Times New Roman" w:eastAsia="仿宋_GB2312"/>
          <w:color w:val="000000"/>
          <w:kern w:val="0"/>
          <w:sz w:val="30"/>
          <w:szCs w:val="32"/>
        </w:rPr>
        <w:t>认为可以</w:t>
      </w:r>
      <w:r>
        <w:rPr>
          <w:rFonts w:ascii="Times New Roman" w:hAnsi="Times New Roman" w:eastAsia="仿宋_GB2312"/>
          <w:color w:val="000000"/>
          <w:kern w:val="0"/>
          <w:sz w:val="30"/>
          <w:szCs w:val="32"/>
        </w:rPr>
        <w:t>执行变更的，</w:t>
      </w:r>
      <w:r>
        <w:rPr>
          <w:rFonts w:hint="eastAsia" w:ascii="Times New Roman" w:hAnsi="Times New Roman" w:eastAsia="仿宋_GB2312"/>
          <w:color w:val="000000"/>
          <w:kern w:val="0"/>
          <w:sz w:val="30"/>
          <w:szCs w:val="32"/>
        </w:rPr>
        <w:t>应当书面说明实施该变更指示对合同价格和工期的影响，且合同当事人应当按照第10.4款〔变更估价〕约定确定变更估价</w:t>
      </w:r>
      <w:r>
        <w:rPr>
          <w:rFonts w:ascii="Times New Roman" w:hAnsi="Times New Roman" w:eastAsia="仿宋_GB2312"/>
          <w:color w:val="000000"/>
          <w:kern w:val="0"/>
          <w:sz w:val="30"/>
          <w:szCs w:val="32"/>
        </w:rPr>
        <w:t>。</w:t>
      </w:r>
    </w:p>
    <w:p w14:paraId="061C6012">
      <w:pPr>
        <w:pStyle w:val="6"/>
        <w:spacing w:before="120" w:after="120" w:line="360" w:lineRule="auto"/>
        <w:ind w:firstLine="600" w:firstLineChars="200"/>
        <w:rPr>
          <w:rFonts w:ascii="Times New Roman" w:hAnsi="Times New Roman" w:eastAsia="黑体"/>
          <w:b w:val="0"/>
          <w:color w:val="000000"/>
          <w:sz w:val="30"/>
          <w:szCs w:val="32"/>
        </w:rPr>
      </w:pPr>
      <w:bookmarkStart w:id="250" w:name="_Toc351203571"/>
      <w:r>
        <w:rPr>
          <w:rFonts w:ascii="Times New Roman" w:hAnsi="Times New Roman" w:eastAsia="黑体"/>
          <w:b w:val="0"/>
          <w:color w:val="000000"/>
          <w:sz w:val="30"/>
          <w:szCs w:val="32"/>
        </w:rPr>
        <w:t>1</w:t>
      </w:r>
      <w:bookmarkStart w:id="251" w:name="_Toc337558791"/>
      <w:bookmarkStart w:id="252" w:name="_Toc296503087"/>
      <w:bookmarkStart w:id="253" w:name="_Toc296346588"/>
      <w:r>
        <w:rPr>
          <w:rFonts w:ascii="Times New Roman" w:hAnsi="Times New Roman" w:eastAsia="黑体"/>
          <w:b w:val="0"/>
          <w:color w:val="000000"/>
          <w:sz w:val="30"/>
          <w:szCs w:val="32"/>
        </w:rPr>
        <w:t>0.4变更估价</w:t>
      </w:r>
      <w:bookmarkEnd w:id="250"/>
    </w:p>
    <w:bookmarkEnd w:id="251"/>
    <w:bookmarkEnd w:id="252"/>
    <w:bookmarkEnd w:id="253"/>
    <w:p w14:paraId="70765CEF">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10.4.1 变更估价原则</w:t>
      </w:r>
    </w:p>
    <w:p w14:paraId="5A526D5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除专用合同条款另有约定外，变更估价按照本款约定处理：</w:t>
      </w:r>
    </w:p>
    <w:p w14:paraId="18CF04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（1）已标价工程量清单或预算书有相同项目的，按照相同项目单价认定；</w:t>
      </w:r>
    </w:p>
    <w:p w14:paraId="5B741E7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（2）已标价工程量清单或预算书中无相同项目，但有类似项目的，参照类似项目的单价认定；</w:t>
      </w:r>
    </w:p>
    <w:p w14:paraId="344FEC4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变更导致实际完成的变更工程量与已标价工程量清单或预算书中列明的该项目工程量的变化幅度超过15%的，或已标价工程量清单或预算书中无相同项目及类似项目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确定变更工作的单价。</w:t>
      </w:r>
    </w:p>
    <w:p w14:paraId="147B45F1">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10.4.2 变更估价程序</w:t>
      </w:r>
    </w:p>
    <w:p w14:paraId="23369178">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承包人应在收到变更指示后14天内，向监理人提交变更估价申请。监理人应在收到承包人提交的变更估价申请后7天内审查完毕并报送发包人，监理人对变更估价申请有异议</w:t>
      </w:r>
      <w:r>
        <w:rPr>
          <w:rFonts w:ascii="Times New Roman" w:hAnsi="Times New Roman" w:eastAsia="仿宋_GB2312"/>
          <w:color w:val="000000"/>
          <w:kern w:val="0"/>
          <w:sz w:val="30"/>
          <w:szCs w:val="32"/>
        </w:rPr>
        <w:t>，通知承包人</w:t>
      </w:r>
      <w:r>
        <w:rPr>
          <w:rFonts w:hint="eastAsia" w:ascii="Times New Roman" w:hAnsi="Times New Roman" w:eastAsia="仿宋_GB2312"/>
          <w:color w:val="000000"/>
          <w:kern w:val="0"/>
          <w:sz w:val="30"/>
          <w:szCs w:val="32"/>
        </w:rPr>
        <w:t>修</w:t>
      </w:r>
      <w:r>
        <w:rPr>
          <w:rFonts w:ascii="Times New Roman" w:hAnsi="Times New Roman" w:eastAsia="仿宋_GB2312"/>
          <w:color w:val="000000"/>
          <w:kern w:val="0"/>
          <w:sz w:val="30"/>
          <w:szCs w:val="32"/>
        </w:rPr>
        <w:t>改</w:t>
      </w:r>
      <w:r>
        <w:rPr>
          <w:rFonts w:hint="eastAsia" w:ascii="Times New Roman" w:hAnsi="Times New Roman" w:eastAsia="仿宋_GB2312"/>
          <w:color w:val="000000"/>
          <w:kern w:val="0"/>
          <w:sz w:val="30"/>
          <w:szCs w:val="32"/>
        </w:rPr>
        <w:t>后重新提交</w:t>
      </w:r>
      <w:r>
        <w:rPr>
          <w:rFonts w:ascii="Times New Roman" w:hAnsi="Times New Roman" w:eastAsia="仿宋_GB2312"/>
          <w:color w:val="000000"/>
          <w:kern w:val="0"/>
          <w:sz w:val="30"/>
          <w:szCs w:val="32"/>
        </w:rPr>
        <w:t>。发包人应在</w:t>
      </w:r>
      <w:r>
        <w:rPr>
          <w:rFonts w:hint="eastAsia" w:ascii="Times New Roman" w:hAnsi="Times New Roman" w:eastAsia="仿宋_GB2312"/>
          <w:color w:val="000000"/>
          <w:kern w:val="0"/>
          <w:sz w:val="30"/>
          <w:szCs w:val="32"/>
        </w:rPr>
        <w:t>承包人提交变更估价申请</w:t>
      </w:r>
      <w:r>
        <w:rPr>
          <w:rFonts w:ascii="Times New Roman" w:hAnsi="Times New Roman" w:eastAsia="仿宋_GB2312"/>
          <w:color w:val="000000"/>
          <w:kern w:val="0"/>
          <w:sz w:val="30"/>
          <w:szCs w:val="32"/>
        </w:rPr>
        <w:t>后</w:t>
      </w:r>
      <w:r>
        <w:rPr>
          <w:rFonts w:hint="eastAsia" w:ascii="Times New Roman" w:hAnsi="Times New Roman" w:eastAsia="仿宋_GB2312"/>
          <w:color w:val="000000"/>
          <w:kern w:val="0"/>
          <w:sz w:val="30"/>
          <w:szCs w:val="32"/>
        </w:rPr>
        <w:t>14</w:t>
      </w:r>
      <w:r>
        <w:rPr>
          <w:rFonts w:ascii="Times New Roman" w:hAnsi="Times New Roman" w:eastAsia="仿宋_GB2312"/>
          <w:color w:val="000000"/>
          <w:kern w:val="0"/>
          <w:sz w:val="30"/>
          <w:szCs w:val="32"/>
        </w:rPr>
        <w:t>天内审批完毕。</w:t>
      </w:r>
      <w:r>
        <w:rPr>
          <w:rFonts w:hint="eastAsia" w:ascii="Times New Roman" w:hAnsi="Times New Roman" w:eastAsia="仿宋_GB2312"/>
          <w:color w:val="000000"/>
          <w:kern w:val="0"/>
          <w:sz w:val="30"/>
          <w:szCs w:val="32"/>
        </w:rPr>
        <w:t>发包人逾期未完成审批或未提出异议的，视为认可承包人提交的变更估价申请。</w:t>
      </w:r>
    </w:p>
    <w:p w14:paraId="49DCC58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因变更引起的价格调整应计入最近一期的进度款中支付。</w:t>
      </w:r>
    </w:p>
    <w:p w14:paraId="31A14D2D">
      <w:pPr>
        <w:pStyle w:val="6"/>
        <w:spacing w:before="120" w:after="120" w:line="360" w:lineRule="auto"/>
        <w:ind w:firstLine="600" w:firstLineChars="200"/>
        <w:rPr>
          <w:rFonts w:ascii="Times New Roman" w:hAnsi="Times New Roman" w:eastAsia="黑体"/>
          <w:b w:val="0"/>
          <w:color w:val="000000"/>
          <w:sz w:val="30"/>
          <w:szCs w:val="32"/>
        </w:rPr>
      </w:pPr>
      <w:bookmarkStart w:id="254" w:name="_Toc351203572"/>
      <w:r>
        <w:rPr>
          <w:rFonts w:ascii="Times New Roman" w:hAnsi="Times New Roman" w:eastAsia="黑体"/>
          <w:b w:val="0"/>
          <w:color w:val="000000"/>
          <w:sz w:val="30"/>
          <w:szCs w:val="32"/>
        </w:rPr>
        <w:t>1</w:t>
      </w:r>
      <w:bookmarkStart w:id="255" w:name="_Toc337558792"/>
      <w:bookmarkStart w:id="256" w:name="_Toc296346595"/>
      <w:bookmarkStart w:id="257" w:name="_Toc296503094"/>
      <w:r>
        <w:rPr>
          <w:rFonts w:ascii="Times New Roman" w:hAnsi="Times New Roman" w:eastAsia="黑体"/>
          <w:b w:val="0"/>
          <w:color w:val="000000"/>
          <w:sz w:val="30"/>
          <w:szCs w:val="32"/>
        </w:rPr>
        <w:t>0.5承包人的合理化建议</w:t>
      </w:r>
      <w:bookmarkEnd w:id="254"/>
    </w:p>
    <w:bookmarkEnd w:id="255"/>
    <w:bookmarkEnd w:id="256"/>
    <w:bookmarkEnd w:id="257"/>
    <w:p w14:paraId="3F61F5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承包人提出合理化建议的，应向监理人提交合理化建议说明，说明建议的内容和理由，以及实施该建议对合同价格和工期的影响。</w:t>
      </w:r>
    </w:p>
    <w:p w14:paraId="02CAD3F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监理人应在收到承包人提交的合理化建议后7天内审查完毕并报送发包人，发现其中存在技术上的缺陷，应通知承包人修改。发包人应在收到监理人报送的合理化建议后7天内审批完毕。合理化建议经发包人批准的，监理人应及时发出变更指示，由此引起的合同价格调整按照第10.4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变更估价</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约定执行。发包人不同意变更的，监理人应书面通知承包人。</w:t>
      </w:r>
    </w:p>
    <w:p w14:paraId="02B493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合理化建议降低了合同价格或者提高了工程经济效益的，发包人可对承包人给予奖励，奖励的方法和金额在专用合同条款中约定。</w:t>
      </w:r>
    </w:p>
    <w:p w14:paraId="0DF55B85">
      <w:pPr>
        <w:pStyle w:val="6"/>
        <w:spacing w:before="120" w:after="120" w:line="360" w:lineRule="auto"/>
        <w:ind w:firstLine="600" w:firstLineChars="200"/>
        <w:rPr>
          <w:rFonts w:ascii="Times New Roman" w:hAnsi="Times New Roman" w:eastAsia="仿宋_GB2312"/>
          <w:color w:val="000000"/>
          <w:sz w:val="30"/>
          <w:szCs w:val="32"/>
        </w:rPr>
      </w:pPr>
      <w:bookmarkStart w:id="258" w:name="_Toc351203573"/>
      <w:r>
        <w:rPr>
          <w:rFonts w:ascii="Times New Roman" w:hAnsi="Times New Roman" w:eastAsia="黑体"/>
          <w:b w:val="0"/>
          <w:color w:val="000000"/>
          <w:sz w:val="30"/>
          <w:szCs w:val="32"/>
        </w:rPr>
        <w:t>1</w:t>
      </w:r>
      <w:bookmarkStart w:id="259" w:name="_Toc337558793"/>
      <w:r>
        <w:rPr>
          <w:rFonts w:ascii="Times New Roman" w:hAnsi="Times New Roman" w:eastAsia="黑体"/>
          <w:b w:val="0"/>
          <w:color w:val="000000"/>
          <w:sz w:val="30"/>
          <w:szCs w:val="32"/>
        </w:rPr>
        <w:t>0.6变更引起的工期调整</w:t>
      </w:r>
      <w:bookmarkEnd w:id="258"/>
      <w:r>
        <w:rPr>
          <w:rFonts w:ascii="Times New Roman" w:hAnsi="Times New Roman" w:eastAsia="黑体"/>
          <w:b w:val="0"/>
          <w:color w:val="000000"/>
          <w:sz w:val="30"/>
          <w:szCs w:val="32"/>
        </w:rPr>
        <w:t xml:space="preserve"> </w:t>
      </w:r>
      <w:bookmarkEnd w:id="259"/>
      <w:r>
        <w:rPr>
          <w:rFonts w:ascii="Times New Roman" w:hAnsi="Times New Roman" w:eastAsia="黑体"/>
          <w:b w:val="0"/>
          <w:color w:val="000000"/>
          <w:sz w:val="30"/>
          <w:szCs w:val="32"/>
        </w:rPr>
        <w:t xml:space="preserve"> </w:t>
      </w:r>
      <w:r>
        <w:rPr>
          <w:rFonts w:ascii="Times New Roman" w:hAnsi="Times New Roman" w:eastAsia="仿宋_GB2312"/>
          <w:color w:val="000000"/>
          <w:sz w:val="30"/>
          <w:szCs w:val="32"/>
        </w:rPr>
        <w:t xml:space="preserve"> </w:t>
      </w:r>
    </w:p>
    <w:p w14:paraId="66CBDB5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因变更引起工期变化的，合同当事人均可要求调整合同工期，由合同当事人按照第4.4款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并参考工程所在地的工期定额标准确定增减工期天数。</w:t>
      </w:r>
    </w:p>
    <w:p w14:paraId="51958553">
      <w:pPr>
        <w:pStyle w:val="6"/>
        <w:spacing w:before="120" w:after="120" w:line="360" w:lineRule="auto"/>
        <w:ind w:firstLine="600" w:firstLineChars="200"/>
        <w:rPr>
          <w:rFonts w:ascii="Times New Roman" w:hAnsi="Times New Roman" w:eastAsia="黑体"/>
          <w:b w:val="0"/>
          <w:color w:val="000000"/>
          <w:sz w:val="30"/>
          <w:szCs w:val="32"/>
        </w:rPr>
      </w:pPr>
      <w:bookmarkStart w:id="260" w:name="_Toc351203574"/>
      <w:r>
        <w:rPr>
          <w:rFonts w:ascii="Times New Roman" w:hAnsi="Times New Roman" w:eastAsia="黑体"/>
          <w:b w:val="0"/>
          <w:color w:val="000000"/>
          <w:sz w:val="30"/>
          <w:szCs w:val="32"/>
        </w:rPr>
        <w:t>10.7暂估价</w:t>
      </w:r>
      <w:bookmarkEnd w:id="260"/>
    </w:p>
    <w:p w14:paraId="6049380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暂估价专业分包工程、</w:t>
      </w:r>
      <w:r>
        <w:rPr>
          <w:rFonts w:hint="eastAsia" w:ascii="Times New Roman" w:hAnsi="Times New Roman" w:eastAsia="仿宋_GB2312"/>
          <w:color w:val="000000"/>
          <w:kern w:val="0"/>
          <w:sz w:val="30"/>
          <w:szCs w:val="32"/>
        </w:rPr>
        <w:t>服务、</w:t>
      </w:r>
      <w:r>
        <w:rPr>
          <w:rFonts w:ascii="Times New Roman" w:hAnsi="Times New Roman" w:eastAsia="仿宋_GB2312"/>
          <w:color w:val="000000"/>
          <w:kern w:val="0"/>
          <w:sz w:val="30"/>
          <w:szCs w:val="32"/>
        </w:rPr>
        <w:t>材料和工程设备的明细由合同当事人在专用合同条款中约定。</w:t>
      </w:r>
    </w:p>
    <w:p w14:paraId="4E5073A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10.7.1</w:t>
      </w:r>
      <w:r>
        <w:rPr>
          <w:rFonts w:ascii="Times New Roman" w:hAnsi="Times New Roman" w:eastAsia="仿宋_GB2312"/>
          <w:color w:val="000000"/>
          <w:kern w:val="0"/>
          <w:sz w:val="30"/>
          <w:szCs w:val="32"/>
        </w:rPr>
        <w:t xml:space="preserve"> 依法必须招标的暂估价项目</w:t>
      </w:r>
    </w:p>
    <w:p w14:paraId="78A29E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对于依法必须招标的暂估价项目，采取以下第1种方式确定</w:t>
      </w:r>
      <w:r>
        <w:rPr>
          <w:rFonts w:hint="eastAsia" w:ascii="Times New Roman" w:hAnsi="Times New Roman" w:eastAsia="仿宋_GB2312"/>
          <w:color w:val="000000"/>
          <w:kern w:val="0"/>
          <w:sz w:val="30"/>
          <w:szCs w:val="32"/>
        </w:rPr>
        <w:t>。合同当事人也可以在</w:t>
      </w:r>
      <w:r>
        <w:rPr>
          <w:rFonts w:ascii="Times New Roman" w:hAnsi="Times New Roman" w:eastAsia="仿宋_GB2312"/>
          <w:color w:val="000000"/>
          <w:kern w:val="0"/>
          <w:sz w:val="30"/>
          <w:szCs w:val="32"/>
        </w:rPr>
        <w:t>专用合同条款</w:t>
      </w:r>
      <w:r>
        <w:rPr>
          <w:rFonts w:hint="eastAsia" w:ascii="Times New Roman" w:hAnsi="Times New Roman" w:eastAsia="仿宋_GB2312"/>
          <w:color w:val="000000"/>
          <w:kern w:val="0"/>
          <w:sz w:val="30"/>
          <w:szCs w:val="32"/>
        </w:rPr>
        <w:t>中选择其他招标方式。</w:t>
      </w:r>
    </w:p>
    <w:p w14:paraId="6768E6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第1种方式：对于依法必须招标的暂估价项目，由承包人招标，对该暂估价项目的确认和批准按照以下约定执行：</w:t>
      </w:r>
    </w:p>
    <w:p w14:paraId="250DE2E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当根据施工进度计划，在招标工作启动前14天将招标方案通过监理人报送发包人审查，发包人应当在收到承包人报送的招标方案后7天内批准或提出修改意见。承包人应当按照经过发包人批准的招标方案开展招标工作；</w:t>
      </w:r>
    </w:p>
    <w:p w14:paraId="55ED179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（2）承包人应当根据施工进度计划，提前14天将招标文件通过监理人报送发包人审批，发包人应当在收到承包人报送的相关文件后7天内完成审批或提出修改意见；发包人有权确定招标控制价</w:t>
      </w:r>
      <w:r>
        <w:rPr>
          <w:rFonts w:hint="eastAsia" w:ascii="Times New Roman" w:hAnsi="Times New Roman" w:eastAsia="仿宋_GB2312"/>
          <w:color w:val="000000"/>
          <w:kern w:val="0"/>
          <w:sz w:val="30"/>
          <w:szCs w:val="32"/>
        </w:rPr>
        <w:t>并按照法律规定参加评标</w:t>
      </w:r>
      <w:r>
        <w:rPr>
          <w:rFonts w:ascii="Times New Roman" w:hAnsi="Times New Roman" w:eastAsia="仿宋_GB2312"/>
          <w:color w:val="000000"/>
          <w:kern w:val="0"/>
          <w:sz w:val="30"/>
          <w:szCs w:val="32"/>
        </w:rPr>
        <w:t>；</w:t>
      </w:r>
    </w:p>
    <w:p w14:paraId="460964BB">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承包人与供应商、分包人在签订暂估价合同前，应当提前7天将确定的中标候选供应商或中标候选分包人的资料报送发包人，发包人应在收到资料后3天内与承包人共同确定中标人；承包人应当在签订合同后7天内，将暂估价合同副本报送发包人留存。</w:t>
      </w:r>
    </w:p>
    <w:p w14:paraId="52DB1A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对于依法必须招标的暂估价项目，由发包人和承包人共同招标确定暂估价供应商或分包人的，承包人应按照施工进度计划，在招标工作启动前14天通知发包人，并提交暂估价招标方案和工作分工。发包人应在收到后7天内确认。确定中标人后，由发包人、承包人与中标人共同签订暂估价合同。</w:t>
      </w:r>
    </w:p>
    <w:p w14:paraId="6F4EFBE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10.7.2</w:t>
      </w:r>
      <w:r>
        <w:rPr>
          <w:rFonts w:ascii="Times New Roman" w:hAnsi="Times New Roman" w:eastAsia="仿宋_GB2312"/>
          <w:color w:val="000000"/>
          <w:kern w:val="0"/>
          <w:sz w:val="30"/>
          <w:szCs w:val="32"/>
        </w:rPr>
        <w:t>不属于依法必须招标的暂估价项目</w:t>
      </w:r>
    </w:p>
    <w:p w14:paraId="0821A7D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除专用合同条款另有约定外，对于不属于依法必须招标的暂估价项目，采取以下第1种方式确定：</w:t>
      </w:r>
      <w:r>
        <w:rPr>
          <w:rFonts w:hint="eastAsia" w:ascii="Times New Roman" w:hAnsi="Times New Roman" w:eastAsia="仿宋_GB2312"/>
          <w:color w:val="000000"/>
          <w:kern w:val="0"/>
          <w:sz w:val="30"/>
          <w:szCs w:val="32"/>
        </w:rPr>
        <w:t xml:space="preserve"> </w:t>
      </w:r>
    </w:p>
    <w:p w14:paraId="536DEC5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第1种方式：对于不属于依法必须招标的暂估价项目，按本项约定确认和批准：</w:t>
      </w:r>
    </w:p>
    <w:p w14:paraId="07DCAA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根据施工进度计划，在签订暂估价项目的采购合同、分包合同前28天向监理人提出书面申请。监理人应当在收到申请后3天内报送发包人，发包人应当在收到申请后14天内给予批准或提出修改意见，发包人逾期未予批准或提出修改意见的，视为该书面申请已获得同意；</w:t>
      </w:r>
    </w:p>
    <w:p w14:paraId="066BEA0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（2）发包人认为承包人确定的供应商、分包人无法满足工程质量或合同要求的，发包人可以要求承包人重新确定暂估价项目的供应商、分包人;</w:t>
      </w:r>
    </w:p>
    <w:p w14:paraId="4F9A58B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（3）承包人应当在签订暂估价合同后7天内，将暂估价合同副本报送发包人留存。</w:t>
      </w:r>
    </w:p>
    <w:p w14:paraId="09F21EF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第2种方式：承包人按照第10.7.1项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依法必须招标的暂估价项目</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约定的第1种方式确定暂估价项目。</w:t>
      </w:r>
    </w:p>
    <w:p w14:paraId="1F50F9D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220F9A0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承包人具备实施暂估价项目的资格和条件的，经发包人和承包人协商一致后，可由承包人自行实施暂估价项目，合同当事人可以在专用合同条款约定具体事项。</w:t>
      </w:r>
    </w:p>
    <w:p w14:paraId="56EA864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10.7.3 因发包人原因导致暂估价合同订立和履行迟延的，由此增加的费用和（或）延误的工期由发包人承担，并支付承包人合理的利润。因承包人原因导致暂估价合同订立和履行迟延的，由此增加的费用和（或）延误的工期由承包人承担。</w:t>
      </w:r>
    </w:p>
    <w:p w14:paraId="3761EB12">
      <w:pPr>
        <w:pStyle w:val="6"/>
        <w:spacing w:before="120" w:after="120" w:line="360" w:lineRule="auto"/>
        <w:ind w:firstLine="600" w:firstLineChars="200"/>
        <w:rPr>
          <w:rFonts w:ascii="Times New Roman" w:hAnsi="Times New Roman" w:eastAsia="黑体"/>
          <w:b w:val="0"/>
          <w:color w:val="000000"/>
          <w:sz w:val="30"/>
          <w:szCs w:val="32"/>
        </w:rPr>
      </w:pPr>
      <w:bookmarkStart w:id="261" w:name="_Toc351203575"/>
      <w:r>
        <w:rPr>
          <w:rFonts w:ascii="Times New Roman" w:hAnsi="Times New Roman" w:eastAsia="黑体"/>
          <w:b w:val="0"/>
          <w:color w:val="000000"/>
          <w:sz w:val="30"/>
          <w:szCs w:val="32"/>
        </w:rPr>
        <w:t>1</w:t>
      </w:r>
      <w:bookmarkStart w:id="262" w:name="_Toc337558794"/>
      <w:bookmarkStart w:id="263" w:name="_Toc322522561"/>
      <w:bookmarkStart w:id="264" w:name="_Toc296346591"/>
      <w:bookmarkStart w:id="265" w:name="_Toc296503090"/>
      <w:r>
        <w:rPr>
          <w:rFonts w:ascii="Times New Roman" w:hAnsi="Times New Roman" w:eastAsia="黑体"/>
          <w:b w:val="0"/>
          <w:color w:val="000000"/>
          <w:sz w:val="30"/>
          <w:szCs w:val="32"/>
        </w:rPr>
        <w:t>0.8暂列金额</w:t>
      </w:r>
      <w:bookmarkEnd w:id="261"/>
    </w:p>
    <w:bookmarkEnd w:id="262"/>
    <w:p w14:paraId="1932EC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暂列金额应按照发包人的要求使用，发包人的要求应通过监理人发出。</w:t>
      </w:r>
      <w:r>
        <w:rPr>
          <w:rFonts w:hint="eastAsia" w:ascii="Times New Roman" w:hAnsi="Times New Roman" w:eastAsia="仿宋_GB2312"/>
          <w:color w:val="000000"/>
          <w:kern w:val="0"/>
          <w:sz w:val="30"/>
          <w:szCs w:val="32"/>
        </w:rPr>
        <w:t>合同当事人可以在专用合同条款中协商确定有关事项。</w:t>
      </w:r>
    </w:p>
    <w:bookmarkEnd w:id="263"/>
    <w:bookmarkEnd w:id="264"/>
    <w:bookmarkEnd w:id="265"/>
    <w:p w14:paraId="783D51FE">
      <w:pPr>
        <w:pStyle w:val="6"/>
        <w:spacing w:before="120" w:after="120" w:line="360" w:lineRule="auto"/>
        <w:ind w:firstLine="600" w:firstLineChars="200"/>
        <w:rPr>
          <w:rFonts w:ascii="Times New Roman" w:hAnsi="Times New Roman" w:eastAsia="黑体"/>
          <w:b w:val="0"/>
          <w:color w:val="000000"/>
          <w:sz w:val="30"/>
          <w:szCs w:val="32"/>
        </w:rPr>
      </w:pPr>
      <w:bookmarkStart w:id="266" w:name="_Toc351203576"/>
      <w:r>
        <w:rPr>
          <w:rFonts w:ascii="Times New Roman" w:hAnsi="Times New Roman" w:eastAsia="黑体"/>
          <w:b w:val="0"/>
          <w:color w:val="000000"/>
          <w:sz w:val="30"/>
          <w:szCs w:val="32"/>
        </w:rPr>
        <w:t>1</w:t>
      </w:r>
      <w:bookmarkStart w:id="267" w:name="_Toc337558796"/>
      <w:bookmarkStart w:id="268" w:name="_Toc296503091"/>
      <w:bookmarkStart w:id="269" w:name="_Toc296346592"/>
      <w:r>
        <w:rPr>
          <w:rFonts w:ascii="Times New Roman" w:hAnsi="Times New Roman" w:eastAsia="黑体"/>
          <w:b w:val="0"/>
          <w:color w:val="000000"/>
          <w:sz w:val="30"/>
          <w:szCs w:val="32"/>
        </w:rPr>
        <w:t>0.9计日工</w:t>
      </w:r>
      <w:bookmarkEnd w:id="266"/>
      <w:r>
        <w:rPr>
          <w:rFonts w:ascii="Times New Roman" w:hAnsi="Times New Roman" w:eastAsia="黑体"/>
          <w:b w:val="0"/>
          <w:color w:val="000000"/>
          <w:sz w:val="30"/>
          <w:szCs w:val="32"/>
        </w:rPr>
        <w:t xml:space="preserve"> </w:t>
      </w:r>
      <w:bookmarkEnd w:id="267"/>
      <w:bookmarkEnd w:id="268"/>
      <w:bookmarkEnd w:id="269"/>
    </w:p>
    <w:p w14:paraId="1BCB7E8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需要采用计日工方式的，经发包人同意后</w:t>
      </w:r>
      <w:r>
        <w:rPr>
          <w:rFonts w:ascii="Times New Roman" w:hAnsi="Times New Roman" w:eastAsia="仿宋_GB2312"/>
          <w:color w:val="000000"/>
          <w:kern w:val="0"/>
          <w:sz w:val="30"/>
          <w:szCs w:val="32"/>
        </w:rPr>
        <w:t>，由监理人通知承包人以计日工计价方式实施</w:t>
      </w:r>
      <w:r>
        <w:rPr>
          <w:rFonts w:hint="eastAsia" w:ascii="Times New Roman" w:hAnsi="Times New Roman" w:eastAsia="仿宋_GB2312"/>
          <w:color w:val="000000"/>
          <w:kern w:val="0"/>
          <w:sz w:val="30"/>
          <w:szCs w:val="32"/>
        </w:rPr>
        <w:t>相应</w:t>
      </w:r>
      <w:r>
        <w:rPr>
          <w:rFonts w:ascii="Times New Roman" w:hAnsi="Times New Roman" w:eastAsia="仿宋_GB2312"/>
          <w:color w:val="000000"/>
          <w:kern w:val="0"/>
          <w:sz w:val="30"/>
          <w:szCs w:val="32"/>
        </w:rPr>
        <w:t>的工作，其价款按列入已标价工程量清单或预算书中的计日工计价项目及其单价进行计算；已标价工程量清单或预算书中无相应的计日工单价的，按照合理的成本与利润构成的原则，由合同当事人按照第4.4款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确定</w:t>
      </w:r>
      <w:r>
        <w:rPr>
          <w:rFonts w:hint="eastAsia" w:ascii="Times New Roman" w:hAnsi="Times New Roman" w:eastAsia="仿宋_GB2312"/>
          <w:color w:val="000000"/>
          <w:kern w:val="0"/>
          <w:sz w:val="30"/>
          <w:szCs w:val="32"/>
        </w:rPr>
        <w:t>计日工</w:t>
      </w:r>
      <w:r>
        <w:rPr>
          <w:rFonts w:ascii="Times New Roman" w:hAnsi="Times New Roman" w:eastAsia="仿宋_GB2312"/>
          <w:color w:val="000000"/>
          <w:kern w:val="0"/>
          <w:sz w:val="30"/>
          <w:szCs w:val="32"/>
        </w:rPr>
        <w:t>的单价。</w:t>
      </w:r>
    </w:p>
    <w:p w14:paraId="2275408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采用计日工计价的任何一项工作，承包人应在该项工作实施过程中，每天提交以下报表和有关凭证报送监理人审查：</w:t>
      </w:r>
    </w:p>
    <w:p w14:paraId="74F40588">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（1）工作名称、内容和数量；</w:t>
      </w:r>
    </w:p>
    <w:p w14:paraId="40FE45CE">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（2）投入该工作的所有人员的姓名、专业、工种、级别和耗用工时；</w:t>
      </w:r>
    </w:p>
    <w:p w14:paraId="467720CD">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（3）投入该工作的材料类别和数量；</w:t>
      </w:r>
    </w:p>
    <w:p w14:paraId="28C8682C">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（4）投入该工作的施工设备型号、台数和耗用台时；</w:t>
      </w:r>
    </w:p>
    <w:p w14:paraId="5D98191D">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（5）其他有关资料和凭证。</w:t>
      </w:r>
    </w:p>
    <w:p w14:paraId="488E547D">
      <w:pPr>
        <w:spacing w:line="360" w:lineRule="auto"/>
        <w:ind w:firstLine="450" w:firstLineChars="15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计日工由承包人汇总后，列入最近一期进度付款申请单，由监理人审查并经发包人批准后列入进度付款。</w:t>
      </w:r>
    </w:p>
    <w:p w14:paraId="492A84A7">
      <w:pPr>
        <w:pStyle w:val="5"/>
        <w:spacing w:before="120" w:after="120" w:line="360" w:lineRule="auto"/>
        <w:rPr>
          <w:rFonts w:ascii="Times New Roman" w:hAnsi="Times New Roman" w:eastAsia="黑体"/>
          <w:b w:val="0"/>
          <w:color w:val="000000"/>
          <w:sz w:val="32"/>
          <w:szCs w:val="32"/>
        </w:rPr>
      </w:pPr>
      <w:bookmarkStart w:id="270" w:name="_Toc351203577"/>
      <w:r>
        <w:rPr>
          <w:rFonts w:ascii="Times New Roman" w:hAnsi="Times New Roman" w:eastAsia="黑体"/>
          <w:b w:val="0"/>
          <w:color w:val="000000"/>
          <w:sz w:val="32"/>
          <w:szCs w:val="32"/>
        </w:rPr>
        <w:t>11. 价格调整</w:t>
      </w:r>
      <w:bookmarkEnd w:id="270"/>
    </w:p>
    <w:p w14:paraId="1063587E">
      <w:pPr>
        <w:pStyle w:val="6"/>
        <w:spacing w:before="120" w:after="120" w:line="360" w:lineRule="auto"/>
        <w:ind w:firstLine="600" w:firstLineChars="200"/>
        <w:rPr>
          <w:rFonts w:ascii="Times New Roman" w:hAnsi="Times New Roman" w:eastAsia="黑体"/>
          <w:b w:val="0"/>
          <w:color w:val="000000"/>
          <w:sz w:val="30"/>
          <w:szCs w:val="32"/>
        </w:rPr>
      </w:pPr>
      <w:bookmarkStart w:id="271" w:name="_Toc351203578"/>
      <w:bookmarkStart w:id="272" w:name="_Toc337558797"/>
      <w:bookmarkStart w:id="273" w:name="_Toc296503092"/>
      <w:bookmarkStart w:id="274" w:name="_Toc296346593"/>
      <w:r>
        <w:rPr>
          <w:rFonts w:ascii="Times New Roman" w:hAnsi="Times New Roman" w:eastAsia="黑体"/>
          <w:b w:val="0"/>
          <w:color w:val="000000"/>
          <w:sz w:val="30"/>
          <w:szCs w:val="32"/>
        </w:rPr>
        <w:t>11.1市场价格波动引起的调整</w:t>
      </w:r>
      <w:bookmarkEnd w:id="271"/>
    </w:p>
    <w:bookmarkEnd w:id="272"/>
    <w:bookmarkEnd w:id="273"/>
    <w:bookmarkEnd w:id="274"/>
    <w:p w14:paraId="37BE601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除专用合同条款另有约定外，市场价格波动超过合同当事人约定的范围，合同价格应当调整。合同当事人可以在专用合同条款中约定选择以下一种方式对合同价格进行调整：</w:t>
      </w:r>
    </w:p>
    <w:p w14:paraId="101AF2B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47137517">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（1）价格调整公式</w:t>
      </w:r>
    </w:p>
    <w:p w14:paraId="43BB90E3">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因人工、材料和设备等价格波动影响合同价格时，根据专用合同条款中约定的数据，按以下公式计算差额并调整合同价格：</w:t>
      </w:r>
    </w:p>
    <w:p w14:paraId="64EE7F43">
      <w:pPr>
        <w:tabs>
          <w:tab w:val="left" w:pos="0"/>
          <w:tab w:val="left" w:pos="360"/>
          <w:tab w:val="left" w:pos="540"/>
        </w:tabs>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position w:val="-30"/>
          <w:sz w:val="30"/>
          <w:szCs w:val="32"/>
        </w:rPr>
        <w:object>
          <v:shape id="_x0000_i1025" o:spt="75" type="#_x0000_t75" style="height:43.9pt;width:359.85pt;" o:ole="t" filled="f" stroked="f" coordsize="21600,21600">
            <v:path/>
            <v:fill on="f" focussize="0,0"/>
            <v:stroke on="f"/>
            <v:imagedata r:id="rId7" o:title=""/>
            <o:lock v:ext="edit" grouping="f" rotation="f" text="f" aspectratio="t"/>
            <w10:wrap type="none"/>
            <w10:anchorlock/>
          </v:shape>
          <o:OLEObject Type="Embed" ProgID="Equation.KSEE3" ShapeID="_x0000_i1025" DrawAspect="Content" ObjectID="_1468075725" r:id="rId6">
            <o:LockedField>false</o:LockedField>
          </o:OLEObject>
        </w:object>
      </w:r>
    </w:p>
    <w:p w14:paraId="4C8DFF0B">
      <w:pPr>
        <w:tabs>
          <w:tab w:val="left" w:pos="0"/>
          <w:tab w:val="left" w:pos="360"/>
          <w:tab w:val="left" w:pos="540"/>
        </w:tabs>
        <w:spacing w:line="360" w:lineRule="auto"/>
        <w:ind w:firstLine="640"/>
        <w:rPr>
          <w:rFonts w:ascii="Times New Roman" w:hAnsi="Times New Roman" w:eastAsia="仿宋_GB2312"/>
          <w:color w:val="000000"/>
          <w:sz w:val="30"/>
          <w:szCs w:val="32"/>
        </w:rPr>
      </w:pPr>
      <w:r>
        <w:rPr>
          <w:rFonts w:ascii="Times New Roman" w:hAnsi="Times New Roman" w:eastAsia="仿宋_GB2312"/>
          <w:color w:val="000000"/>
          <w:sz w:val="30"/>
          <w:szCs w:val="32"/>
        </w:rPr>
        <w:t>公式中：ΔP——需调整的价格差额；</w:t>
      </w:r>
    </w:p>
    <w:p w14:paraId="050C3AAA">
      <w:pPr>
        <w:tabs>
          <w:tab w:val="left" w:pos="0"/>
          <w:tab w:val="left" w:pos="360"/>
          <w:tab w:val="left" w:pos="540"/>
        </w:tabs>
        <w:spacing w:line="360" w:lineRule="auto"/>
        <w:ind w:firstLine="1800" w:firstLineChars="600"/>
        <w:rPr>
          <w:rFonts w:ascii="Times New Roman" w:hAnsi="Times New Roman" w:eastAsia="仿宋_GB2312"/>
          <w:color w:val="000000"/>
          <w:sz w:val="30"/>
          <w:szCs w:val="32"/>
        </w:rPr>
      </w:pPr>
      <w:r>
        <w:rPr>
          <w:rFonts w:ascii="Times New Roman" w:hAnsi="Times New Roman" w:eastAsia="仿宋_GB2312"/>
          <w:color w:val="000000"/>
          <w:position w:val="-6"/>
          <w:sz w:val="30"/>
          <w:szCs w:val="32"/>
        </w:rPr>
        <w:object>
          <v:shape id="_x0000_i1026" o:spt="75" type="#_x0000_t75" style="height:17.95pt;width:17.95pt;" o:ole="t" filled="f" stroked="f" coordsize="21600,21600">
            <v:path/>
            <v:fill on="f" focussize="0,0"/>
            <v:stroke on="f"/>
            <v:imagedata r:id="rId9" o:title=""/>
            <o:lock v:ext="edit" grouping="f" rotation="f" text="f" aspectratio="t"/>
            <w10:wrap type="none"/>
            <w10:anchorlock/>
          </v:shape>
          <o:OLEObject Type="Embed" ProgID="Equation.KSEE3" ShapeID="_x0000_i1026" DrawAspect="Content" ObjectID="_1468075726" r:id="rId8">
            <o:LockedField>false</o:LockedField>
          </o:OLEObject>
        </w:object>
      </w:r>
      <w:r>
        <w:rPr>
          <w:rFonts w:ascii="Times New Roman" w:hAnsi="Times New Roman" w:eastAsia="仿宋_GB2312"/>
          <w:color w:val="000000"/>
          <w:sz w:val="30"/>
          <w:szCs w:val="32"/>
        </w:rPr>
        <w:t>——约定的付款证书中承包人应得到的已完成工程量的金额。此项金额应不包括价格调整、不计质量保证金的扣留和支付、预付款的支付和扣回。约定的变更及其他金额已按现行价格计价的，也不计在内；</w:t>
      </w:r>
    </w:p>
    <w:p w14:paraId="05AA482F">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A——定值权重（即不调部分的权重）；</w:t>
      </w:r>
    </w:p>
    <w:p w14:paraId="4116DD8C">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7" o:spt="75" type="#_x0000_t75" style="height:21.05pt;width:101pt;" o:ole="t" filled="f" stroked="f" coordsize="21600,21600">
            <v:path/>
            <v:fill on="f" focussize="0,0"/>
            <v:stroke on="f"/>
            <v:imagedata r:id="rId11" o:title=""/>
            <o:lock v:ext="edit" grouping="f" rotation="f" text="f" aspectratio="t"/>
            <w10:wrap type="none"/>
            <w10:anchorlock/>
          </v:shape>
          <o:OLEObject Type="Embed" ProgID="Equation.KSEE3" ShapeID="_x0000_i1027" DrawAspect="Content" ObjectID="_1468075727" r:id="rId10">
            <o:LockedField>false</o:LockedField>
          </o:OLEObject>
        </w:object>
      </w:r>
      <w:r>
        <w:rPr>
          <w:rFonts w:ascii="Times New Roman" w:hAnsi="Times New Roman" w:eastAsia="仿宋_GB2312"/>
          <w:color w:val="000000"/>
          <w:sz w:val="30"/>
          <w:szCs w:val="32"/>
        </w:rPr>
        <w:t>——各可调因子的变值权重（即可调部分的权重），为各可调因子在签约合同价中所占的比例；</w:t>
      </w:r>
    </w:p>
    <w:p w14:paraId="79E14350">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8" o:spt="75" type="#_x0000_t75" style="height:20.6pt;width:102.05pt;" o:ole="t" filled="f" stroked="f" coordsize="21600,21600">
            <v:path/>
            <v:fill on="f" focussize="0,0"/>
            <v:stroke on="f"/>
            <v:imagedata r:id="rId13" o:title=""/>
            <o:lock v:ext="edit" grouping="f" rotation="f" text="f" aspectratio="t"/>
            <w10:wrap type="none"/>
            <w10:anchorlock/>
          </v:shape>
          <o:OLEObject Type="Embed" ProgID="Equation.KSEE3" ShapeID="_x0000_i1028" DrawAspect="Content" ObjectID="_1468075728" r:id="rId12">
            <o:LockedField>false</o:LockedField>
          </o:OLEObject>
        </w:object>
      </w:r>
      <w:r>
        <w:rPr>
          <w:rFonts w:ascii="Times New Roman" w:hAnsi="Times New Roman" w:eastAsia="仿宋_GB2312"/>
          <w:color w:val="000000"/>
          <w:sz w:val="30"/>
          <w:szCs w:val="32"/>
        </w:rPr>
        <w:t>——各可调因子的现行价格指数，指约定的付款证书相关周期最后一天的前42天的各可调因子的价格指数；</w:t>
      </w:r>
    </w:p>
    <w:p w14:paraId="2E323A3C">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position w:val="-10"/>
          <w:sz w:val="30"/>
          <w:szCs w:val="32"/>
        </w:rPr>
        <w:object>
          <v:shape id="_x0000_i1029" o:spt="75" type="#_x0000_t75" style="height:20.2pt;width:108pt;" o:ole="t" filled="f" stroked="f" coordsize="21600,21600">
            <v:path/>
            <v:fill on="f" focussize="0,0"/>
            <v:stroke on="f"/>
            <v:imagedata r:id="rId15" o:title=""/>
            <o:lock v:ext="edit" grouping="f" rotation="f" text="f" aspectratio="t"/>
            <w10:wrap type="none"/>
            <w10:anchorlock/>
          </v:shape>
          <o:OLEObject Type="Embed" ProgID="Equation.KSEE3" ShapeID="_x0000_i1029" DrawAspect="Content" ObjectID="_1468075729" r:id="rId14">
            <o:LockedField>false</o:LockedField>
          </o:OLEObject>
        </w:object>
      </w:r>
      <w:r>
        <w:rPr>
          <w:rFonts w:ascii="Times New Roman" w:hAnsi="Times New Roman" w:eastAsia="仿宋_GB2312"/>
          <w:color w:val="000000"/>
          <w:sz w:val="30"/>
          <w:szCs w:val="32"/>
        </w:rPr>
        <w:t>——各可调因子的基本价格指数，指基准日期的各可调因子的价格指数。</w:t>
      </w:r>
    </w:p>
    <w:p w14:paraId="3E163626">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以上价格调整公式中的各可调因子、定值和变值权重，以及基本价格指数及其来源在投标函附录价格指数和权重表中约定，非招标订立的合同，由合同当事人在专用合同条款中约定。价格指数应首先采用工程造价管理机构发布的价格指数，无前述价格指数时，可采用工程造价管理机构发布的价格代替。</w:t>
      </w:r>
    </w:p>
    <w:p w14:paraId="4C15882D">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（2）暂时确定调整差额</w:t>
      </w:r>
    </w:p>
    <w:p w14:paraId="5B4C200D">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在计算调整差额时无现行价格指数的，合同当事人同意暂用前次价格指数计算。实际价格指数有调整的，合同当事人进行相应调整。</w:t>
      </w:r>
    </w:p>
    <w:p w14:paraId="7CD9A578">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（3）权重的调整</w:t>
      </w:r>
    </w:p>
    <w:p w14:paraId="68840125">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因变更导致合同约定的权重不合理时，按照第4.4款</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商定或确定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rPr>
        <w:t>执行。</w:t>
      </w:r>
    </w:p>
    <w:p w14:paraId="0B3B4459">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（4）因承包人原因工期延误后的价格调整</w:t>
      </w:r>
    </w:p>
    <w:p w14:paraId="75EF9452">
      <w:pPr>
        <w:tabs>
          <w:tab w:val="left" w:pos="0"/>
          <w:tab w:val="left" w:pos="360"/>
          <w:tab w:val="left" w:pos="540"/>
        </w:tabs>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因承包人原因未按期竣工的，对合同约定的竣工日期后继续施工的工程，在使用价格调整公式时，应采用计划竣工日期与实际竣工日期的两个价格指数中较低的一个作为现行价格指数。</w:t>
      </w:r>
    </w:p>
    <w:p w14:paraId="69E3384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64F13EA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合同履行期间，因人工、材料、工程设备和机械台班价格波动影响合同价格时，人工、机械使用费按照国家或省、自治区、直辖市建设行政管理部门、行业建设管理部门或其授权的工程造价管理机构发布的人工、机械使用费系数进行调整；需要进行价格调整的材料，其单价和采购数</w:t>
      </w:r>
      <w:r>
        <w:rPr>
          <w:rFonts w:hint="eastAsia" w:ascii="Times New Roman" w:hAnsi="Times New Roman" w:eastAsia="仿宋_GB2312"/>
          <w:color w:val="000000"/>
          <w:sz w:val="30"/>
          <w:szCs w:val="32"/>
        </w:rPr>
        <w:t>量</w:t>
      </w:r>
      <w:r>
        <w:rPr>
          <w:rFonts w:ascii="Times New Roman" w:hAnsi="Times New Roman" w:eastAsia="仿宋_GB2312"/>
          <w:color w:val="000000"/>
          <w:sz w:val="30"/>
          <w:szCs w:val="32"/>
        </w:rPr>
        <w:t>应由发包人审批，发包人确认需调整的材料单价及数量，作为调整合同价格的依据。</w:t>
      </w:r>
    </w:p>
    <w:p w14:paraId="5D7EA62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人工单价发生变化且符合省级或行业建设主管部门发布的人工费调整规定，合同当事人应按省级或行业建设主管部门或其授权的工程造价管理机构发布的人工费等文件调整合同价格，但承包人对人工费或人工单价的报价高于发布价格的除外。</w:t>
      </w:r>
    </w:p>
    <w:p w14:paraId="6B3250C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（2）材料、工程设备价格变化的价款调整按照发包人提供的基准价格，按以下风险范围规定执行:</w:t>
      </w:r>
    </w:p>
    <w:p w14:paraId="784146C2">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材料单价低于基准价格的：除专用合同条款另有约定外，合同履行期间材料单价涨幅以基准价格为基础超过5%时，或材料单价跌幅以在已标价工程量清单或预算书中载明材料单价为基础超过5%时，其超过部分据实调整。</w:t>
      </w:r>
    </w:p>
    <w:p w14:paraId="4471EC37">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材料单价高于基准价格的：除专用合同条款另有约定外，合同履行期间材料单价跌幅以基准价格为基础超过5%时，材料单价涨幅以在已标价工程量清单或预算书中载明材料单价为基础超过5%时，其超过部分据实调整。</w:t>
      </w:r>
    </w:p>
    <w:p w14:paraId="113BB417">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承包人在已标价工程量清单或预算书中载明材料单价等于基准价格的：除专用合同条款另有约定外，合同履行期间材料单价涨跌幅以基准价格为基础超过±5%时，其超过部分据实调整。</w:t>
      </w:r>
    </w:p>
    <w:p w14:paraId="11D113F3">
      <w:pPr>
        <w:spacing w:line="360" w:lineRule="auto"/>
        <w:ind w:firstLine="600" w:firstLineChars="200"/>
        <w:rPr>
          <w:rFonts w:ascii="Times New Roman" w:hAnsi="Times New Roman" w:eastAsia="仿宋_GB2312"/>
          <w:color w:val="000000"/>
          <w:sz w:val="30"/>
          <w:szCs w:val="32"/>
        </w:rPr>
      </w:pPr>
      <w:r>
        <w:rPr>
          <w:rFonts w:hint="eastAsia" w:ascii="宋体" w:hAnsi="宋体" w:cs="宋体"/>
          <w:color w:val="000000"/>
          <w:sz w:val="30"/>
          <w:szCs w:val="32"/>
        </w:rPr>
        <w:t>④</w:t>
      </w:r>
      <w:r>
        <w:rPr>
          <w:rFonts w:ascii="Times New Roman" w:hAnsi="Times New Roman" w:eastAsia="仿宋_GB2312"/>
          <w:color w:val="000000"/>
          <w:sz w:val="30"/>
          <w:szCs w:val="32"/>
        </w:rPr>
        <w:t>承包人应在采购材料前将采购数量和新的材料单价报发包人核对，发包人确认用于工程时，发包人应确认采购材料的数量和单价。发包人在收到承包人报送的确认资料后5天内不予答复的视为认可，作为调整合同价格的依据。未经发包人事先核对，承包人自行采购材料的，发包人有权不予调整合同价格。发包人同意的，可以调整合同价格。</w:t>
      </w:r>
    </w:p>
    <w:p w14:paraId="3B87A75B">
      <w:pPr>
        <w:spacing w:line="360" w:lineRule="auto"/>
        <w:ind w:firstLine="600" w:firstLineChars="200"/>
        <w:rPr>
          <w:rFonts w:ascii="Times New Roman" w:hAnsi="Times New Roman" w:eastAsia="仿宋_GB2312"/>
          <w:color w:val="000000"/>
          <w:sz w:val="30"/>
          <w:szCs w:val="32"/>
        </w:rPr>
      </w:pPr>
      <w:bookmarkStart w:id="275" w:name="OLE_LINK3"/>
      <w:r>
        <w:rPr>
          <w:rFonts w:ascii="Times New Roman" w:hAnsi="Times New Roman" w:eastAsia="仿宋_GB2312"/>
          <w:color w:val="000000"/>
          <w:sz w:val="30"/>
          <w:szCs w:val="32"/>
        </w:rPr>
        <w:t>前述基准价格是指由发包人在招标文件或专用合同条款中给定的材料、工程设备的价格，该价格原则上应当按照省级或行业建设主管部门或其授权的工程造价管理机构发布的信息价编制。</w:t>
      </w:r>
    </w:p>
    <w:p w14:paraId="4ABBB40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（3）施工机械台班单价或施工机械使用费发生变化超过省级或行业建设主管部门或其授权的工程造价管理机构规定的范围时，按规定调整合同价格。</w:t>
      </w:r>
    </w:p>
    <w:p w14:paraId="75FFC4E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第3种方式：专用合同条款约定的其他方式。</w:t>
      </w:r>
    </w:p>
    <w:p w14:paraId="5EB8CD94">
      <w:pPr>
        <w:pStyle w:val="6"/>
        <w:spacing w:before="120" w:after="120" w:line="360" w:lineRule="auto"/>
        <w:ind w:firstLine="600" w:firstLineChars="200"/>
        <w:rPr>
          <w:rFonts w:ascii="Times New Roman" w:hAnsi="Times New Roman" w:eastAsia="黑体"/>
          <w:b w:val="0"/>
          <w:color w:val="000000"/>
          <w:sz w:val="30"/>
          <w:szCs w:val="32"/>
        </w:rPr>
      </w:pPr>
      <w:bookmarkStart w:id="276" w:name="_Toc351203579"/>
      <w:bookmarkStart w:id="277" w:name="_Toc296503093"/>
      <w:bookmarkStart w:id="278" w:name="_Toc296346594"/>
      <w:bookmarkStart w:id="279" w:name="_Toc337558798"/>
      <w:r>
        <w:rPr>
          <w:rFonts w:ascii="Times New Roman" w:hAnsi="Times New Roman" w:eastAsia="黑体"/>
          <w:b w:val="0"/>
          <w:color w:val="000000"/>
          <w:sz w:val="30"/>
          <w:szCs w:val="32"/>
        </w:rPr>
        <w:t>11.2法律变化引起的调整</w:t>
      </w:r>
      <w:bookmarkEnd w:id="276"/>
    </w:p>
    <w:bookmarkEnd w:id="277"/>
    <w:bookmarkEnd w:id="278"/>
    <w:bookmarkEnd w:id="279"/>
    <w:p w14:paraId="5241B040">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后，法律变化</w:t>
      </w:r>
      <w:r>
        <w:rPr>
          <w:rFonts w:hint="eastAsia" w:ascii="Times New Roman" w:hAnsi="Times New Roman" w:eastAsia="仿宋_GB2312"/>
          <w:color w:val="000000"/>
          <w:sz w:val="30"/>
          <w:szCs w:val="32"/>
        </w:rPr>
        <w:t>导致承包人在合同履行过程中所需要的费用发生除第11.1款〔市场价格波动引起的调整〕约定以外的增加时，由发包人承担由此增加的费用；减少时，应从合同价格中予以扣减。</w:t>
      </w:r>
      <w:r>
        <w:rPr>
          <w:rFonts w:ascii="Times New Roman" w:hAnsi="Times New Roman" w:eastAsia="仿宋_GB2312"/>
          <w:color w:val="000000"/>
          <w:sz w:val="30"/>
          <w:szCs w:val="32"/>
        </w:rPr>
        <w:t>基准日</w:t>
      </w:r>
      <w:r>
        <w:rPr>
          <w:rFonts w:hint="eastAsia" w:ascii="Times New Roman" w:hAnsi="Times New Roman" w:eastAsia="仿宋_GB2312"/>
          <w:color w:val="000000"/>
          <w:sz w:val="30"/>
          <w:szCs w:val="32"/>
        </w:rPr>
        <w:t>期</w:t>
      </w:r>
      <w:r>
        <w:rPr>
          <w:rFonts w:ascii="Times New Roman" w:hAnsi="Times New Roman" w:eastAsia="仿宋_GB2312"/>
          <w:color w:val="000000"/>
          <w:sz w:val="30"/>
          <w:szCs w:val="32"/>
        </w:rPr>
        <w:t>后，</w:t>
      </w:r>
      <w:r>
        <w:rPr>
          <w:rFonts w:hint="eastAsia" w:ascii="Times New Roman" w:hAnsi="Times New Roman" w:eastAsia="仿宋_GB2312"/>
          <w:color w:val="000000"/>
          <w:sz w:val="30"/>
          <w:szCs w:val="32"/>
        </w:rPr>
        <w:t>因</w:t>
      </w:r>
      <w:r>
        <w:rPr>
          <w:rFonts w:ascii="Times New Roman" w:hAnsi="Times New Roman" w:eastAsia="仿宋_GB2312"/>
          <w:color w:val="000000"/>
          <w:sz w:val="30"/>
          <w:szCs w:val="32"/>
        </w:rPr>
        <w:t>法律变化</w:t>
      </w:r>
      <w:r>
        <w:rPr>
          <w:rFonts w:hint="eastAsia" w:ascii="Times New Roman" w:hAnsi="Times New Roman" w:eastAsia="仿宋_GB2312"/>
          <w:color w:val="000000"/>
          <w:sz w:val="30"/>
          <w:szCs w:val="32"/>
        </w:rPr>
        <w:t>造成工期延误时，工期应予以顺延。</w:t>
      </w:r>
    </w:p>
    <w:p w14:paraId="2C5AA397">
      <w:pPr>
        <w:spacing w:line="360" w:lineRule="auto"/>
        <w:ind w:firstLine="600" w:firstLineChars="200"/>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因法律变化引起的合同价格和工期调整，合同当事人无法达成一致的，由总监理工程师按第4.4款〔商定或确定〕的约定处理。</w:t>
      </w:r>
    </w:p>
    <w:p w14:paraId="577C1BC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因承包人原因造成工期延误，在工期延误期间出现法律变化的，由此增加的费用和（或）延误的工期由承包人承担。</w:t>
      </w:r>
    </w:p>
    <w:p w14:paraId="5387C274">
      <w:pPr>
        <w:pStyle w:val="5"/>
        <w:spacing w:before="120" w:after="120" w:line="360" w:lineRule="auto"/>
        <w:rPr>
          <w:rFonts w:ascii="Times New Roman" w:hAnsi="Times New Roman" w:eastAsia="黑体"/>
          <w:b w:val="0"/>
          <w:color w:val="000000"/>
          <w:sz w:val="30"/>
          <w:szCs w:val="32"/>
        </w:rPr>
      </w:pPr>
      <w:bookmarkStart w:id="280" w:name="_Toc351203580"/>
      <w:bookmarkStart w:id="281" w:name="_Toc337558799"/>
      <w:bookmarkStart w:id="282" w:name="_Toc296346597"/>
      <w:bookmarkStart w:id="283" w:name="_Toc296503096"/>
      <w:r>
        <w:rPr>
          <w:rFonts w:ascii="Times New Roman" w:hAnsi="Times New Roman" w:eastAsia="黑体"/>
          <w:b w:val="0"/>
          <w:color w:val="000000"/>
          <w:sz w:val="32"/>
          <w:szCs w:val="32"/>
        </w:rPr>
        <w:t>12. 合同价格、计量与支付</w:t>
      </w:r>
      <w:bookmarkEnd w:id="280"/>
    </w:p>
    <w:bookmarkEnd w:id="281"/>
    <w:p w14:paraId="27D9FAEE">
      <w:pPr>
        <w:pStyle w:val="6"/>
        <w:spacing w:before="120" w:after="120" w:line="360" w:lineRule="auto"/>
        <w:ind w:firstLine="600" w:firstLineChars="200"/>
        <w:rPr>
          <w:rFonts w:ascii="Times New Roman" w:hAnsi="Times New Roman" w:eastAsia="黑体"/>
          <w:b w:val="0"/>
          <w:color w:val="000000"/>
          <w:sz w:val="30"/>
          <w:szCs w:val="32"/>
        </w:rPr>
      </w:pPr>
      <w:bookmarkStart w:id="284" w:name="_Toc351203581"/>
      <w:bookmarkStart w:id="285" w:name="_Toc337558800"/>
      <w:r>
        <w:rPr>
          <w:rFonts w:ascii="Times New Roman" w:hAnsi="Times New Roman" w:eastAsia="黑体"/>
          <w:b w:val="0"/>
          <w:color w:val="000000"/>
          <w:sz w:val="30"/>
          <w:szCs w:val="32"/>
        </w:rPr>
        <w:t>12.1 合同价</w:t>
      </w:r>
      <w:bookmarkEnd w:id="282"/>
      <w:bookmarkEnd w:id="283"/>
      <w:r>
        <w:rPr>
          <w:rFonts w:ascii="Times New Roman" w:hAnsi="Times New Roman" w:eastAsia="黑体"/>
          <w:b w:val="0"/>
          <w:color w:val="000000"/>
          <w:sz w:val="30"/>
          <w:szCs w:val="32"/>
        </w:rPr>
        <w:t>格形式</w:t>
      </w:r>
      <w:bookmarkEnd w:id="284"/>
    </w:p>
    <w:bookmarkEnd w:id="285"/>
    <w:p w14:paraId="5A705CE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发包人和承包人应在合同协议书中</w:t>
      </w:r>
      <w:r>
        <w:rPr>
          <w:rFonts w:hint="eastAsia" w:ascii="Times New Roman" w:hAnsi="Times New Roman" w:eastAsia="仿宋_GB2312"/>
          <w:color w:val="000000"/>
          <w:kern w:val="0"/>
          <w:sz w:val="30"/>
          <w:szCs w:val="32"/>
        </w:rPr>
        <w:t>选择</w:t>
      </w:r>
      <w:r>
        <w:rPr>
          <w:rFonts w:ascii="Times New Roman" w:hAnsi="Times New Roman" w:eastAsia="仿宋_GB2312"/>
          <w:color w:val="000000"/>
          <w:kern w:val="0"/>
          <w:sz w:val="30"/>
          <w:szCs w:val="32"/>
        </w:rPr>
        <w:t xml:space="preserve">下列一种合同价格形式： </w:t>
      </w:r>
    </w:p>
    <w:p w14:paraId="7EFB8A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w:t>
      </w:r>
    </w:p>
    <w:p w14:paraId="66330D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单价合同是指合同当事人约定以工程量清单及其综合单价进行合同价格计算、调整和确认的建设工程施工合同，</w:t>
      </w:r>
      <w:r>
        <w:rPr>
          <w:rFonts w:ascii="Times New Roman" w:hAnsi="Times New Roman" w:eastAsia="仿宋_GB2312"/>
          <w:sz w:val="30"/>
          <w:szCs w:val="32"/>
        </w:rPr>
        <w:t>在约定的范围内合同单价不作调整</w:t>
      </w:r>
      <w:r>
        <w:rPr>
          <w:rFonts w:ascii="Times New Roman" w:hAnsi="Times New Roman" w:eastAsia="仿宋_GB2312"/>
          <w:color w:val="000000"/>
          <w:kern w:val="0"/>
          <w:sz w:val="30"/>
          <w:szCs w:val="32"/>
        </w:rPr>
        <w:t>。合同当事人应在专用合同条款中约定综合单价包含的风险范围和风险费用的计算方法</w:t>
      </w:r>
      <w:r>
        <w:rPr>
          <w:rFonts w:ascii="Times New Roman" w:hAnsi="Times New Roman" w:eastAsia="仿宋_GB2312"/>
          <w:sz w:val="30"/>
          <w:szCs w:val="32"/>
        </w:rPr>
        <w:t>，</w:t>
      </w:r>
      <w:r>
        <w:rPr>
          <w:rFonts w:ascii="Times New Roman" w:hAnsi="Times New Roman" w:eastAsia="仿宋_GB2312"/>
          <w:color w:val="000000"/>
          <w:kern w:val="0"/>
          <w:sz w:val="30"/>
          <w:szCs w:val="32"/>
        </w:rPr>
        <w:t>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6364CB2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w:t>
      </w:r>
    </w:p>
    <w:p w14:paraId="7081A2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总价合同是指合同当事人约定以施工图、已标价工程量清单或预算书及有关条件进行合同价格计算、调整和确认的建设工程施工合同，</w:t>
      </w:r>
      <w:r>
        <w:rPr>
          <w:rFonts w:ascii="Times New Roman" w:hAnsi="Times New Roman" w:eastAsia="仿宋_GB2312"/>
          <w:sz w:val="30"/>
          <w:szCs w:val="32"/>
        </w:rPr>
        <w:t>在约定的范围内合同总价不作调整</w:t>
      </w:r>
      <w:r>
        <w:rPr>
          <w:rFonts w:ascii="Times New Roman" w:hAnsi="Times New Roman" w:eastAsia="仿宋_GB2312"/>
          <w:color w:val="000000"/>
          <w:kern w:val="0"/>
          <w:sz w:val="30"/>
          <w:szCs w:val="32"/>
        </w:rPr>
        <w:t>。合同当事人应在专用合同条款中约定总价包含的风险范围和风险费用的计算方法，并约定风险范围以外的合同价格的调整方法，其中因市场价格波动引起的调整按第11.1款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市场价格波动引起的调整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、因法律变化引起的调整按第11.2款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法律变化引起的调整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约定执行。</w:t>
      </w:r>
    </w:p>
    <w:p w14:paraId="713F24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其它价格形式</w:t>
      </w:r>
    </w:p>
    <w:p w14:paraId="777FAD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合同当事人可在专用合同条款中约定其他合同价格形式。</w:t>
      </w:r>
    </w:p>
    <w:p w14:paraId="4F67F64B">
      <w:pPr>
        <w:pStyle w:val="6"/>
        <w:spacing w:before="120" w:after="120" w:line="360" w:lineRule="auto"/>
        <w:ind w:firstLine="600" w:firstLineChars="200"/>
        <w:rPr>
          <w:rFonts w:ascii="Times New Roman" w:hAnsi="Times New Roman" w:eastAsia="黑体"/>
          <w:b w:val="0"/>
          <w:color w:val="000000"/>
          <w:sz w:val="30"/>
          <w:szCs w:val="32"/>
        </w:rPr>
      </w:pPr>
      <w:bookmarkStart w:id="286" w:name="_Toc296346598"/>
      <w:bookmarkStart w:id="287" w:name="_Toc296503097"/>
      <w:bookmarkStart w:id="288" w:name="_Toc351203582"/>
      <w:bookmarkStart w:id="289" w:name="_Toc337558801"/>
      <w:r>
        <w:rPr>
          <w:rFonts w:ascii="Times New Roman" w:hAnsi="Times New Roman" w:eastAsia="黑体"/>
          <w:b w:val="0"/>
          <w:color w:val="000000"/>
          <w:sz w:val="30"/>
          <w:szCs w:val="32"/>
        </w:rPr>
        <w:t>12.2预</w:t>
      </w:r>
      <w:bookmarkEnd w:id="286"/>
      <w:bookmarkEnd w:id="287"/>
      <w:bookmarkStart w:id="290" w:name="_Toc296503100"/>
      <w:bookmarkStart w:id="291" w:name="_Toc296346601"/>
      <w:r>
        <w:rPr>
          <w:rFonts w:ascii="Times New Roman" w:hAnsi="Times New Roman" w:eastAsia="黑体"/>
          <w:b w:val="0"/>
          <w:color w:val="000000"/>
          <w:sz w:val="30"/>
          <w:szCs w:val="32"/>
        </w:rPr>
        <w:t>付款</w:t>
      </w:r>
      <w:bookmarkEnd w:id="288"/>
    </w:p>
    <w:bookmarkEnd w:id="289"/>
    <w:bookmarkEnd w:id="290"/>
    <w:bookmarkEnd w:id="291"/>
    <w:p w14:paraId="5C54774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12.2.</w:t>
      </w:r>
      <w:r>
        <w:rPr>
          <w:rFonts w:ascii="Times New Roman" w:hAnsi="Times New Roman" w:eastAsia="仿宋_GB2312"/>
          <w:color w:val="000000"/>
          <w:kern w:val="0"/>
          <w:sz w:val="30"/>
          <w:szCs w:val="32"/>
        </w:rPr>
        <w:t>1预付款的支付</w:t>
      </w:r>
    </w:p>
    <w:p w14:paraId="46B90D7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预付款的支付按照专用合同条款约定执行，但至迟应在开工通知载明的开工日期7天前支付。预付款应当用于材料、工程设备、施工设备的采购及修建临时工程、组织施工队伍进场等。</w:t>
      </w:r>
    </w:p>
    <w:p w14:paraId="5D9205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除专用合同条款另有约定外，预付款在进度付款中同比例扣回。</w:t>
      </w:r>
      <w:bookmarkEnd w:id="275"/>
      <w:r>
        <w:rPr>
          <w:rFonts w:ascii="Times New Roman" w:hAnsi="Times New Roman" w:eastAsia="仿宋_GB2312"/>
          <w:color w:val="000000"/>
          <w:kern w:val="0"/>
          <w:sz w:val="30"/>
          <w:szCs w:val="32"/>
        </w:rPr>
        <w:t>在颁发工程接收证书前，提前解除合同的，尚未扣完的预付款应与合同价款一并结算。</w:t>
      </w:r>
    </w:p>
    <w:p w14:paraId="5F7555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发包人逾期支付预付款超过7天的，承包人有权向发包人发出要求预付的催告通知，发包人收到通知后7天内仍未支付的，承包人有权暂停施工，并按第16.1.1项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执行。</w:t>
      </w:r>
    </w:p>
    <w:p w14:paraId="3900B7B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6A100737">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发包人要求承包人提供预付款担保的</w:t>
      </w:r>
      <w:r>
        <w:rPr>
          <w:rFonts w:ascii="Times New Roman" w:hAnsi="Times New Roman" w:eastAsia="仿宋_GB2312"/>
          <w:color w:val="000000"/>
          <w:kern w:val="0"/>
          <w:sz w:val="30"/>
          <w:szCs w:val="32"/>
        </w:rPr>
        <w:t>，承包人应在发包人支付预付款7天前提供预付款担保</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专用合同条款另有约定</w:t>
      </w:r>
      <w:r>
        <w:rPr>
          <w:rFonts w:hint="eastAsia" w:ascii="Times New Roman" w:hAnsi="Times New Roman" w:eastAsia="仿宋_GB2312"/>
          <w:color w:val="000000"/>
          <w:kern w:val="0"/>
          <w:sz w:val="30"/>
          <w:szCs w:val="32"/>
        </w:rPr>
        <w:t>除</w:t>
      </w:r>
      <w:r>
        <w:rPr>
          <w:rFonts w:ascii="Times New Roman" w:hAnsi="Times New Roman" w:eastAsia="仿宋_GB2312"/>
          <w:color w:val="000000"/>
          <w:kern w:val="0"/>
          <w:sz w:val="30"/>
          <w:szCs w:val="32"/>
        </w:rPr>
        <w:t>外。预付款担保可采用银行保函、担保公司担保等形式，具体由合同当事人在专用合同条款中约定。在预付款完全扣回之前，承包人应保证预付款担保持续有效。</w:t>
      </w:r>
    </w:p>
    <w:p w14:paraId="05DD093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发包人在工程款中逐期扣回预付款后，预付款担保额度应相应减少，但剩余的预付款担保金额不得低于未被扣回的预付款金额。</w:t>
      </w:r>
    </w:p>
    <w:p w14:paraId="09A77940">
      <w:pPr>
        <w:pStyle w:val="6"/>
        <w:spacing w:before="120" w:after="120" w:line="360" w:lineRule="auto"/>
        <w:ind w:firstLine="600" w:firstLineChars="200"/>
        <w:rPr>
          <w:rFonts w:ascii="Times New Roman" w:hAnsi="Times New Roman" w:eastAsia="黑体"/>
          <w:b w:val="0"/>
          <w:color w:val="000000"/>
          <w:sz w:val="30"/>
          <w:szCs w:val="32"/>
        </w:rPr>
      </w:pPr>
      <w:bookmarkStart w:id="292" w:name="_Toc351203583"/>
      <w:bookmarkStart w:id="293" w:name="_Toc337558802"/>
      <w:r>
        <w:rPr>
          <w:rFonts w:ascii="Times New Roman" w:hAnsi="Times New Roman" w:eastAsia="黑体"/>
          <w:b w:val="0"/>
          <w:color w:val="000000"/>
          <w:sz w:val="30"/>
          <w:szCs w:val="32"/>
        </w:rPr>
        <w:t>12.3计量</w:t>
      </w:r>
      <w:bookmarkEnd w:id="292"/>
    </w:p>
    <w:bookmarkEnd w:id="293"/>
    <w:p w14:paraId="427D1FC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12.3.1 计量原则</w:t>
      </w:r>
    </w:p>
    <w:p w14:paraId="00C4C4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工程量计量按照合同约定的工程量计算规则、图纸及变更指示</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进行计量。工程量计算规则应以相关的国家标准、行业标准</w:t>
      </w:r>
      <w:r>
        <w:rPr>
          <w:rFonts w:hint="eastAsia" w:ascii="Times New Roman" w:hAnsi="Times New Roman" w:eastAsia="仿宋_GB2312"/>
          <w:color w:val="000000"/>
          <w:kern w:val="0"/>
          <w:sz w:val="30"/>
          <w:szCs w:val="32"/>
        </w:rPr>
        <w:t>等</w:t>
      </w:r>
      <w:r>
        <w:rPr>
          <w:rFonts w:ascii="Times New Roman" w:hAnsi="Times New Roman" w:eastAsia="仿宋_GB2312"/>
          <w:color w:val="000000"/>
          <w:kern w:val="0"/>
          <w:sz w:val="30"/>
          <w:szCs w:val="32"/>
        </w:rPr>
        <w:t>为依据，由合同当事人在专用合同条款中约定。</w:t>
      </w:r>
    </w:p>
    <w:p w14:paraId="5A9FF7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12.3.2 计量周期</w:t>
      </w:r>
    </w:p>
    <w:p w14:paraId="49497A3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除专用合同条款另有约定外，工程量的计量按月进行。</w:t>
      </w:r>
    </w:p>
    <w:p w14:paraId="0CC4E29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12.3.3 单价合同的计量</w:t>
      </w:r>
    </w:p>
    <w:p w14:paraId="137EC91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除专用合同条款另有约定外，单价合同的计量按照本项约定执行：</w:t>
      </w:r>
    </w:p>
    <w:p w14:paraId="5A3E7D3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68AC2D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复核或修正的工程量视为承包人实际完成的工程量。</w:t>
      </w:r>
    </w:p>
    <w:p w14:paraId="768074C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（3）监理人未在收到承包人提交的工程量报表后的7天内完成审核的，承包人报送的工程量报告中的工程量视为承包人实际完成的工程量，据此计算工程价款。</w:t>
      </w:r>
    </w:p>
    <w:p w14:paraId="3289FC1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12.3.4 总价合同的计量</w:t>
      </w:r>
    </w:p>
    <w:p w14:paraId="685E970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除专用合同条款另有约定外，按</w:t>
      </w:r>
      <w:r>
        <w:rPr>
          <w:rFonts w:hint="eastAsia" w:ascii="Times New Roman" w:hAnsi="Times New Roman" w:eastAsia="仿宋_GB2312"/>
          <w:color w:val="000000"/>
          <w:kern w:val="0"/>
          <w:sz w:val="30"/>
          <w:szCs w:val="32"/>
        </w:rPr>
        <w:t>月计量支付</w:t>
      </w:r>
      <w:r>
        <w:rPr>
          <w:rFonts w:ascii="Times New Roman" w:hAnsi="Times New Roman" w:eastAsia="仿宋_GB2312"/>
          <w:color w:val="000000"/>
          <w:kern w:val="0"/>
          <w:sz w:val="30"/>
          <w:szCs w:val="32"/>
        </w:rPr>
        <w:t>的总价合同，按照本项约定执行：</w:t>
      </w:r>
    </w:p>
    <w:p w14:paraId="084FE2E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（1）承包人应于每月25日向监理人报送上月20日至当月19日已完成的工程量报告，并附具进度付款申请单、已完成工程量报表和有关资料。</w:t>
      </w:r>
    </w:p>
    <w:p w14:paraId="1E9717F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承包人提交的工程量报告后7天内完成对承包人提交的工程量报表的审核并报送发包人，以确定当月实际完成的工程量。监理人对工程量有异议的，有权要求承包人进行共同复核或抽样复测。承包人应协助监理人进行复核或抽样复测并按监理人要求提供补充计量资料。承包人未按监理人要求参加复核或抽样复测的，监理人审核或修正的工程量视为承包人实际完成的工程量。</w:t>
      </w:r>
    </w:p>
    <w:p w14:paraId="183E802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（3）监理人未在收到承包人提交的工程量报表后的7天内完成复核的，承包人提交的工程量报告中的工程量视为承包人实际完成的工程量。</w:t>
      </w:r>
    </w:p>
    <w:p w14:paraId="3D61D8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12.3.5 总价合同采用支付分解表计量支付的，可以按照第12.3.4项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约定进行计量，但合同价款按照支付分解表进行支付。</w:t>
      </w:r>
    </w:p>
    <w:p w14:paraId="3FE4200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12.3.6 其他价格形式合同的计量</w:t>
      </w:r>
    </w:p>
    <w:p w14:paraId="00DE6E9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合同当事人可在专用合同条款中约定其他价格形式合同的计量方式和程序。</w:t>
      </w:r>
    </w:p>
    <w:p w14:paraId="5D9E5811">
      <w:pPr>
        <w:pStyle w:val="6"/>
        <w:spacing w:before="120" w:after="120" w:line="360" w:lineRule="auto"/>
        <w:ind w:firstLine="600" w:firstLineChars="200"/>
        <w:rPr>
          <w:rFonts w:ascii="Times New Roman" w:hAnsi="Times New Roman" w:eastAsia="黑体"/>
          <w:b w:val="0"/>
          <w:color w:val="000000"/>
          <w:sz w:val="30"/>
          <w:szCs w:val="32"/>
        </w:rPr>
      </w:pPr>
      <w:bookmarkStart w:id="294" w:name="_Toc296503101"/>
      <w:bookmarkStart w:id="295" w:name="_Toc296346602"/>
      <w:bookmarkStart w:id="296" w:name="_Toc351203584"/>
      <w:bookmarkStart w:id="297" w:name="_Toc337558803"/>
      <w:r>
        <w:rPr>
          <w:rFonts w:ascii="Times New Roman" w:hAnsi="Times New Roman" w:eastAsia="黑体"/>
          <w:b w:val="0"/>
          <w:color w:val="000000"/>
          <w:sz w:val="30"/>
          <w:szCs w:val="32"/>
        </w:rPr>
        <w:t>12.4工程进度款支</w:t>
      </w:r>
      <w:bookmarkEnd w:id="294"/>
      <w:bookmarkEnd w:id="295"/>
      <w:r>
        <w:rPr>
          <w:rFonts w:ascii="Times New Roman" w:hAnsi="Times New Roman" w:eastAsia="黑体"/>
          <w:b w:val="0"/>
          <w:color w:val="000000"/>
          <w:sz w:val="30"/>
          <w:szCs w:val="32"/>
        </w:rPr>
        <w:t>付</w:t>
      </w:r>
      <w:bookmarkEnd w:id="296"/>
    </w:p>
    <w:bookmarkEnd w:id="297"/>
    <w:p w14:paraId="7E6B7D23">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.1 付款周期</w:t>
      </w:r>
    </w:p>
    <w:p w14:paraId="2D6324D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除专用合同条款另有约定外，付款周期应按照第12.3.2</w:t>
      </w:r>
      <w:r>
        <w:rPr>
          <w:rFonts w:hint="eastAsia" w:ascii="Times New Roman" w:hAnsi="Times New Roman" w:eastAsia="仿宋_GB2312"/>
          <w:color w:val="000000"/>
          <w:kern w:val="0"/>
          <w:sz w:val="30"/>
          <w:szCs w:val="32"/>
        </w:rPr>
        <w:t>项〔</w:t>
      </w:r>
      <w:r>
        <w:rPr>
          <w:rFonts w:ascii="Times New Roman" w:hAnsi="Times New Roman" w:eastAsia="仿宋_GB2312"/>
          <w:color w:val="000000"/>
          <w:kern w:val="0"/>
          <w:sz w:val="30"/>
          <w:szCs w:val="32"/>
        </w:rPr>
        <w:t>计量周期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的约定与计量周期保持一致。</w:t>
      </w:r>
    </w:p>
    <w:p w14:paraId="3F95DC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.2 进度付款申请单的编制</w:t>
      </w:r>
    </w:p>
    <w:p w14:paraId="206A44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除专用合同条款另有约定外，进度付款申请单应包括下列内容：</w:t>
      </w:r>
    </w:p>
    <w:p w14:paraId="59573ED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（1）截至本次付款周期已完成工作对应的金额；</w:t>
      </w:r>
    </w:p>
    <w:p w14:paraId="19FB47E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（2）根据第10条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应增加和扣减的变更金额；</w:t>
      </w:r>
    </w:p>
    <w:p w14:paraId="2784C3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（3）根据第12.2款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预付款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约定应支付的预付款和扣减的返还预付款；</w:t>
      </w:r>
    </w:p>
    <w:p w14:paraId="57D0512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（4）根据第15.3款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约定应扣减的质量保证金；</w:t>
      </w:r>
    </w:p>
    <w:p w14:paraId="7987FA3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（5）根据第19条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索赔</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应增加和扣减的索赔金额；</w:t>
      </w:r>
    </w:p>
    <w:p w14:paraId="235BB3A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（6）对已签发的进度款支付证书中出现错误的修正，应在本次进度付款中支付或扣除的金额；</w:t>
      </w:r>
    </w:p>
    <w:p w14:paraId="64F18B4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（7）根据合同约定应增加和扣减的其他金额。</w:t>
      </w:r>
    </w:p>
    <w:p w14:paraId="4D2E4572">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12.4.3 进度付款申请单的提交</w:t>
      </w:r>
    </w:p>
    <w:p w14:paraId="2D91F57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（1）单价合同进度付款申请单的提交</w:t>
      </w:r>
    </w:p>
    <w:p w14:paraId="369153B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单价合同的进度付款申请单，按照第12.3.3项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单价合同的计量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约定的时间按月向监理人提交，并附上已完成工程量报表和有关资料。单价合同中的总价项目按月进行支付分解，并汇总列入当期进度付款申请单。</w:t>
      </w:r>
    </w:p>
    <w:p w14:paraId="32933BA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（2）总价合同进度付款申请单的提交</w:t>
      </w:r>
    </w:p>
    <w:p w14:paraId="4D1F16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w:t>
      </w:r>
      <w:r>
        <w:rPr>
          <w:rFonts w:hint="eastAsia" w:ascii="Times New Roman" w:hAnsi="Times New Roman" w:eastAsia="仿宋_GB2312"/>
          <w:color w:val="000000"/>
          <w:kern w:val="0"/>
          <w:sz w:val="30"/>
          <w:szCs w:val="32"/>
        </w:rPr>
        <w:t>月计量支付的</w:t>
      </w:r>
      <w:r>
        <w:rPr>
          <w:rFonts w:ascii="Times New Roman" w:hAnsi="Times New Roman" w:eastAsia="仿宋_GB2312"/>
          <w:color w:val="000000"/>
          <w:kern w:val="0"/>
          <w:sz w:val="30"/>
          <w:szCs w:val="32"/>
        </w:rPr>
        <w:t>，承包人按照第12.3.4项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约定的时间按月向监理人提交进度付款申请单，并附上已完成工程量报表和有关资料。</w:t>
      </w:r>
    </w:p>
    <w:p w14:paraId="3A1EC11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总价合同按支付分解表支付的，承包人应按照第12.4.6项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支付分解表</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及第12.4.2项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的约定向监理人提交进度付款申请单。</w:t>
      </w:r>
    </w:p>
    <w:p w14:paraId="22EEF16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（3）其他价格形式合同的进度付款申请单的提交</w:t>
      </w:r>
    </w:p>
    <w:p w14:paraId="568728D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合同当事人可在专用合同条款中约定其他价格形式合同的进度付款申请单的编制和提交程序。</w:t>
      </w:r>
    </w:p>
    <w:p w14:paraId="04A523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12.4</w:t>
      </w:r>
      <w:r>
        <w:rPr>
          <w:rFonts w:ascii="Times New Roman" w:hAnsi="Times New Roman" w:eastAsia="仿宋_GB2312"/>
          <w:color w:val="000000"/>
          <w:kern w:val="0"/>
          <w:sz w:val="30"/>
          <w:szCs w:val="32"/>
        </w:rPr>
        <w:t>.4 进度款审核和支付</w:t>
      </w:r>
    </w:p>
    <w:p w14:paraId="5FD9F89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（1）除专用合同条款另有约定外，监理人应在收到承包人进度付款申请单以及相关资料后7天内完成审查并报送发包人，发包人应在收到后7天内完成审批并签发进度款支付证书。发包人逾期未完成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且未提出异议的，视为已签发进度款支付证书。</w:t>
      </w:r>
    </w:p>
    <w:p w14:paraId="000693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和监理人对承包人的进度付款申请单有异议的，有权要求承包人修正和提供补充资料，承包人应提交修正后的进度付款申请单。监理人应在收到承包人修正后的进度付款申请单及相关资料后7天内完成审查并报送发包人，发包人应在收到监理人报送的进度付款申请单及相关资料后7天内，向承包人签发无异议部分的临时进度款支付证书。存在争议的部分，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695B57B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（2）除专用合同条款另有约定外，发包人应在进度款支付证书或临时进度款支付证书签发后14天内完成支付，发包人逾期支付进度款的，应按照中国人民银行发布的同期同类贷款基准利率支付违约金。</w:t>
      </w:r>
    </w:p>
    <w:p w14:paraId="21B392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（3）发包人签发进度款支付证书或临时进度款支付证书，不表明发包人已同意、批准或接受了承包人完成的相应部分的工作。</w:t>
      </w:r>
    </w:p>
    <w:p w14:paraId="07F61A1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12.4.5 进度付款的修正</w:t>
      </w:r>
    </w:p>
    <w:p w14:paraId="7A8771C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在对已签发的进度款支付证书进行阶段汇总和复核中发现错误、遗漏或重复的，发包人和承包人均有权提出修正申请。经发包人和承包人同意的修正，应在下期进度付款中支付或扣除。</w:t>
      </w:r>
    </w:p>
    <w:p w14:paraId="676E0D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12.4.6 支付分解表</w:t>
      </w:r>
    </w:p>
    <w:p w14:paraId="45291C2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支付分解表的编制要求</w:t>
      </w:r>
    </w:p>
    <w:p w14:paraId="5B36E9A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（1）支付分解表中所列的每期付款金额，应为第12.4.2项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进度付款申请单的编制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第（1）</w:t>
      </w:r>
      <w:r>
        <w:rPr>
          <w:rFonts w:hint="eastAsia" w:ascii="Times New Roman" w:hAnsi="Times New Roman" w:eastAsia="仿宋_GB2312"/>
          <w:color w:val="000000"/>
          <w:kern w:val="0"/>
          <w:sz w:val="30"/>
          <w:szCs w:val="32"/>
        </w:rPr>
        <w:t>目</w:t>
      </w:r>
      <w:r>
        <w:rPr>
          <w:rFonts w:ascii="Times New Roman" w:hAnsi="Times New Roman" w:eastAsia="仿宋_GB2312"/>
          <w:color w:val="000000"/>
          <w:kern w:val="0"/>
          <w:sz w:val="30"/>
          <w:szCs w:val="32"/>
        </w:rPr>
        <w:t>的估算金额；</w:t>
      </w:r>
    </w:p>
    <w:p w14:paraId="681FCB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（2）实际进度与施工进度计划不一致的，合同当事人可按照第4.4款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修改支付分解表；</w:t>
      </w:r>
    </w:p>
    <w:p w14:paraId="63CCD1F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（3）不采用支付分解表的，承包人应向发包人和监理人提交按季度编制的支付估算分解表，用于支付参考。</w:t>
      </w:r>
    </w:p>
    <w:p w14:paraId="5F51BD4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总价合同支付分解表的编制与审批</w:t>
      </w:r>
    </w:p>
    <w:p w14:paraId="7723C8D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（1）除专用合同条款另有约定外，承包人应根据第7.2款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施工进度计划</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的施工进度计划、签约合同价和工程量等因素对总价合同按月进行分解，编制支付分解表。承包人应当在收到监理人和发包人批准的施工进度计划后7天内，将支付分解表及编制支付分解表的支持性资料报送监理人。</w:t>
      </w:r>
    </w:p>
    <w:p w14:paraId="6CA334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（2）监理人应在收到支付分解表后7天内完成审核并报送发包人。发包人应在收到经监理人审核的支付分解表后7天内完成审批，经发包人批准的支付分解表为有约束力的支付分解表。</w:t>
      </w:r>
    </w:p>
    <w:p w14:paraId="15CC9FF9">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（3）发包人逾期未完成支付分解表</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的，也未及时要求承包人进行修正和提供补充资料的，则承包人提交的支付分解表视为已经获得发包人批准。</w:t>
      </w:r>
    </w:p>
    <w:p w14:paraId="419D4F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hint="eastAsia" w:ascii="Times New Roman" w:hAnsi="Times New Roman" w:eastAsia="仿宋_GB2312"/>
          <w:color w:val="000000"/>
          <w:kern w:val="0"/>
          <w:sz w:val="30"/>
          <w:szCs w:val="32"/>
          <w:lang w:val="en-US" w:eastAsia="zh-CN"/>
        </w:rPr>
        <w:t>.</w:t>
      </w:r>
      <w:r>
        <w:rPr>
          <w:rFonts w:ascii="Times New Roman" w:hAnsi="Times New Roman" w:eastAsia="仿宋_GB2312"/>
          <w:color w:val="000000"/>
          <w:kern w:val="0"/>
          <w:sz w:val="30"/>
          <w:szCs w:val="32"/>
        </w:rPr>
        <w:t>单价合同的总价项目支付分解表的编制与审批</w:t>
      </w:r>
    </w:p>
    <w:p w14:paraId="3FBCED1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单价合同的总价项目，由承包人根据施工进度计划和总价项目的总价构成、费用性质、计划发生时间和相应工程量等因素按月进行分解，形成支付分解表，其编制与审批参照总价合同支付分解表的编制与审批执行。</w:t>
      </w:r>
    </w:p>
    <w:p w14:paraId="2888C5CC">
      <w:pPr>
        <w:pStyle w:val="6"/>
        <w:spacing w:before="120" w:after="120" w:line="360" w:lineRule="auto"/>
        <w:ind w:firstLine="600" w:firstLineChars="200"/>
        <w:rPr>
          <w:rFonts w:ascii="Times New Roman" w:hAnsi="Times New Roman" w:eastAsia="黑体"/>
          <w:b w:val="0"/>
          <w:color w:val="000000"/>
          <w:sz w:val="30"/>
          <w:szCs w:val="32"/>
        </w:rPr>
      </w:pPr>
      <w:bookmarkStart w:id="298" w:name="_Toc351203585"/>
      <w:r>
        <w:rPr>
          <w:rFonts w:ascii="Times New Roman" w:hAnsi="Times New Roman" w:eastAsia="黑体"/>
          <w:b w:val="0"/>
          <w:color w:val="000000"/>
          <w:sz w:val="30"/>
          <w:szCs w:val="32"/>
        </w:rPr>
        <w:t>12.5支付账户</w:t>
      </w:r>
      <w:bookmarkEnd w:id="298"/>
    </w:p>
    <w:p w14:paraId="21DA9E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发包人应将合同价款支付至合同协议书中约定的承包人账户。</w:t>
      </w:r>
    </w:p>
    <w:p w14:paraId="43F204E0">
      <w:pPr>
        <w:pStyle w:val="5"/>
        <w:spacing w:before="120" w:after="120" w:line="360" w:lineRule="auto"/>
        <w:rPr>
          <w:rFonts w:ascii="Times New Roman" w:hAnsi="Times New Roman" w:eastAsia="黑体"/>
          <w:b w:val="0"/>
          <w:color w:val="000000"/>
          <w:sz w:val="32"/>
          <w:szCs w:val="32"/>
        </w:rPr>
      </w:pPr>
      <w:bookmarkStart w:id="299" w:name="_Toc351203586"/>
      <w:bookmarkStart w:id="300" w:name="_Toc296503106"/>
      <w:bookmarkStart w:id="301" w:name="_Toc296346607"/>
      <w:bookmarkStart w:id="302" w:name="_Toc322522574"/>
      <w:bookmarkStart w:id="303" w:name="_Toc337558804"/>
      <w:r>
        <w:rPr>
          <w:rFonts w:ascii="Times New Roman" w:hAnsi="Times New Roman" w:eastAsia="黑体"/>
          <w:b w:val="0"/>
          <w:color w:val="000000"/>
          <w:sz w:val="32"/>
          <w:szCs w:val="32"/>
        </w:rPr>
        <w:t>13. 验收和工程试车</w:t>
      </w:r>
      <w:bookmarkEnd w:id="299"/>
    </w:p>
    <w:bookmarkEnd w:id="300"/>
    <w:bookmarkEnd w:id="301"/>
    <w:bookmarkEnd w:id="302"/>
    <w:bookmarkEnd w:id="303"/>
    <w:p w14:paraId="3E67582A">
      <w:pPr>
        <w:pStyle w:val="6"/>
        <w:spacing w:before="120" w:after="120" w:line="360" w:lineRule="auto"/>
        <w:ind w:firstLine="600" w:firstLineChars="200"/>
        <w:rPr>
          <w:rFonts w:ascii="Times New Roman" w:hAnsi="Times New Roman" w:eastAsia="黑体"/>
          <w:b w:val="0"/>
          <w:color w:val="000000"/>
          <w:sz w:val="30"/>
          <w:szCs w:val="32"/>
        </w:rPr>
      </w:pPr>
      <w:bookmarkStart w:id="304" w:name="_Toc351203587"/>
      <w:bookmarkStart w:id="305" w:name="_Toc337558805"/>
      <w:bookmarkStart w:id="306" w:name="_Toc296503110"/>
      <w:bookmarkStart w:id="307" w:name="_Toc296346611"/>
      <w:r>
        <w:rPr>
          <w:rFonts w:ascii="Times New Roman" w:hAnsi="Times New Roman" w:eastAsia="黑体"/>
          <w:b w:val="0"/>
          <w:color w:val="000000"/>
          <w:sz w:val="30"/>
          <w:szCs w:val="32"/>
        </w:rPr>
        <w:t>13.1分部分项工程验收</w:t>
      </w:r>
      <w:bookmarkEnd w:id="304"/>
    </w:p>
    <w:bookmarkEnd w:id="305"/>
    <w:p w14:paraId="68C6239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13.1.1 分部分项工程质量应符合国家有关工程施工验收规范、标准及合同约定，承包人应按照施工组织设计的要求完成分部分项工程施工。</w:t>
      </w:r>
    </w:p>
    <w:p w14:paraId="06FCB8D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13.1.2 除专用合同条款另有约定外，分部分项工程经承包人自检合格并具备验收条件的，承包人应提前48小时通知监理人进行验收。</w:t>
      </w:r>
      <w:r>
        <w:rPr>
          <w:rFonts w:ascii="Times New Roman" w:hAnsi="Times New Roman" w:eastAsia="仿宋_GB2312"/>
          <w:color w:val="000000"/>
          <w:kern w:val="0"/>
          <w:sz w:val="30"/>
          <w:szCs w:val="32"/>
        </w:rPr>
        <w:t>监理人不能按时进行验收的，应在验收前24小时向承包人提交书面延期要求，但延期不能超过48小时。监理人未按时进行验收，也未提出延期要求的，承包人有权自行验收，监理人应认可验收结果。</w:t>
      </w:r>
      <w:r>
        <w:rPr>
          <w:rFonts w:ascii="Times New Roman" w:hAnsi="Times New Roman" w:eastAsia="仿宋_GB2312"/>
          <w:color w:val="000000"/>
          <w:sz w:val="30"/>
          <w:szCs w:val="32"/>
        </w:rPr>
        <w:t>分部分项工程未经验收的，不得进入下一道工序施工。</w:t>
      </w:r>
    </w:p>
    <w:p w14:paraId="384C278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分部分项工程的验收资料应当作为竣工资料的组成部分。</w:t>
      </w:r>
    </w:p>
    <w:p w14:paraId="7D69E407">
      <w:pPr>
        <w:pStyle w:val="6"/>
        <w:spacing w:before="120" w:after="120" w:line="360" w:lineRule="auto"/>
        <w:ind w:firstLine="600" w:firstLineChars="200"/>
        <w:rPr>
          <w:rFonts w:ascii="Times New Roman" w:hAnsi="Times New Roman" w:eastAsia="黑体"/>
          <w:b w:val="0"/>
          <w:color w:val="000000"/>
          <w:sz w:val="30"/>
          <w:szCs w:val="32"/>
        </w:rPr>
      </w:pPr>
      <w:bookmarkStart w:id="308" w:name="_Toc351203588"/>
      <w:bookmarkStart w:id="309" w:name="_Toc337558806"/>
      <w:r>
        <w:rPr>
          <w:rFonts w:ascii="Times New Roman" w:hAnsi="Times New Roman" w:eastAsia="黑体"/>
          <w:b w:val="0"/>
          <w:color w:val="000000"/>
          <w:sz w:val="30"/>
          <w:szCs w:val="32"/>
        </w:rPr>
        <w:t>13.2竣工验收</w:t>
      </w:r>
      <w:bookmarkEnd w:id="308"/>
    </w:p>
    <w:bookmarkEnd w:id="306"/>
    <w:bookmarkEnd w:id="307"/>
    <w:bookmarkEnd w:id="309"/>
    <w:p w14:paraId="049E06E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13.2.1竣工验收条件</w:t>
      </w:r>
    </w:p>
    <w:p w14:paraId="7211911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工程具备以下条件的，承包人可以申请竣工验收：</w:t>
      </w:r>
    </w:p>
    <w:p w14:paraId="4080211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（1）除发包人同意的甩项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和缺陷修补工作外，合同范围内的全部工程以及有关工作，包括合同要求的试验、试运行以及检验均已完成，并符合合同要求；</w:t>
      </w:r>
    </w:p>
    <w:p w14:paraId="336E5F7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（2）已按合同约定编制了甩项</w:t>
      </w:r>
      <w:r>
        <w:rPr>
          <w:rFonts w:hint="eastAsia" w:ascii="Times New Roman" w:hAnsi="Times New Roman" w:eastAsia="仿宋_GB2312"/>
          <w:color w:val="000000"/>
          <w:kern w:val="0"/>
          <w:sz w:val="30"/>
          <w:szCs w:val="32"/>
        </w:rPr>
        <w:t>工作</w:t>
      </w:r>
      <w:r>
        <w:rPr>
          <w:rFonts w:ascii="Times New Roman" w:hAnsi="Times New Roman" w:eastAsia="仿宋_GB2312"/>
          <w:color w:val="000000"/>
          <w:kern w:val="0"/>
          <w:sz w:val="30"/>
          <w:szCs w:val="32"/>
        </w:rPr>
        <w:t>和缺陷修补工作清单以及相应的施工计划；</w:t>
      </w:r>
    </w:p>
    <w:p w14:paraId="170B65A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（3）已按合同约定的内容和份数备齐竣工资料。</w:t>
      </w:r>
    </w:p>
    <w:p w14:paraId="29F2B91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13.2.2竣工验收程序</w:t>
      </w:r>
    </w:p>
    <w:p w14:paraId="56DCB1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除专用合同条款另有约定外，承包人申请竣工验收的，应当按照以下程序进行：</w:t>
      </w:r>
    </w:p>
    <w:p w14:paraId="7D100EA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向监理人报送竣工验收申请报告，监理人应在收到竣工验收申请报告后14天内完成审查并报送发包人。监理人审查后认为尚不具备验收条件的，应通知承包人在竣工验收前承包人还需完成的工作内容，承包人应在完成监理人通知的全部工作内容后，再次提交竣工验收申请报告。</w:t>
      </w:r>
    </w:p>
    <w:p w14:paraId="613EA1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（2）监理人审查后认为已具备竣工验收条件的，应将竣工验收申请报告提交发包人，发包人应在收到</w:t>
      </w:r>
      <w:r>
        <w:rPr>
          <w:rFonts w:hint="eastAsia" w:ascii="Times New Roman" w:hAnsi="Times New Roman" w:eastAsia="仿宋_GB2312"/>
          <w:color w:val="000000"/>
          <w:kern w:val="0"/>
          <w:sz w:val="30"/>
          <w:szCs w:val="32"/>
        </w:rPr>
        <w:t>经</w:t>
      </w:r>
      <w:r>
        <w:rPr>
          <w:rFonts w:ascii="Times New Roman" w:hAnsi="Times New Roman" w:eastAsia="仿宋_GB2312"/>
          <w:color w:val="000000"/>
          <w:kern w:val="0"/>
          <w:sz w:val="30"/>
          <w:szCs w:val="32"/>
        </w:rPr>
        <w:t>监理人审核的竣工验收申请报告后28天内</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完毕并组织监理人、承包人、设计人等相关单位完成竣工验收。</w:t>
      </w:r>
    </w:p>
    <w:p w14:paraId="7D3C969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（3）竣工验收合格的，发包人应在验收合格后14天内向承包人签发工程接收证书。发包人无正当理由逾期不颁发工程接收证书的，自验收合格后第15天起视为已颁发工程接收证书。</w:t>
      </w:r>
    </w:p>
    <w:p w14:paraId="7E4978F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竣工验收不合格的，监理人应按照验收意见发出指示，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p w14:paraId="3830F8D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（5）工程未经验收或验收不合格，发包人擅自使用的，应在转移占有工程后7天内向承包人颁发工程接收证书；发包人无正当理由逾期不颁发工程接收证书的，自转移占有后第15天起视为已颁发工程接收证书。</w:t>
      </w:r>
    </w:p>
    <w:p w14:paraId="7B2B381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除专用合同条款另有约定外，发包人不按照本项约定组织竣工验收、颁发工程接收证书的，每逾期一天，应以签约合同价为基数，按照中国人民银行发布的同期同类贷款基准利率支付违约金。</w:t>
      </w:r>
    </w:p>
    <w:p w14:paraId="57C28F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13.2.3竣工日期</w:t>
      </w:r>
    </w:p>
    <w:p w14:paraId="356296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工程经竣工验收合格的，以承包人提交竣工验收申请报告之日为实际竣工日期，并在工程接收证书中载明；因发包人原因，未在监理人收到承包人提交的竣工验收申请报告42天内完成</w:t>
      </w:r>
      <w:r>
        <w:rPr>
          <w:rFonts w:hint="eastAsia" w:ascii="Times New Roman" w:hAnsi="Times New Roman" w:eastAsia="仿宋_GB2312"/>
          <w:color w:val="000000"/>
          <w:kern w:val="0"/>
          <w:sz w:val="30"/>
          <w:szCs w:val="32"/>
        </w:rPr>
        <w:t>竣工</w:t>
      </w:r>
      <w:r>
        <w:rPr>
          <w:rFonts w:ascii="Times New Roman" w:hAnsi="Times New Roman" w:eastAsia="仿宋_GB2312"/>
          <w:color w:val="000000"/>
          <w:kern w:val="0"/>
          <w:sz w:val="30"/>
          <w:szCs w:val="32"/>
        </w:rPr>
        <w:t>验收</w:t>
      </w:r>
      <w:r>
        <w:rPr>
          <w:rFonts w:hint="eastAsia" w:ascii="Times New Roman" w:hAnsi="Times New Roman" w:eastAsia="仿宋_GB2312"/>
          <w:color w:val="000000"/>
          <w:kern w:val="0"/>
          <w:sz w:val="30"/>
          <w:szCs w:val="32"/>
        </w:rPr>
        <w:t>，或完成竣工验收不予签发工程接收证书</w:t>
      </w:r>
      <w:r>
        <w:rPr>
          <w:rFonts w:ascii="Times New Roman" w:hAnsi="Times New Roman" w:eastAsia="仿宋_GB2312"/>
          <w:color w:val="000000"/>
          <w:kern w:val="0"/>
          <w:sz w:val="30"/>
          <w:szCs w:val="32"/>
        </w:rPr>
        <w:t>的，以提交竣工验</w:t>
      </w:r>
      <w:bookmarkStart w:id="310" w:name="#go14"/>
      <w:bookmarkEnd w:id="310"/>
      <w:r>
        <w:rPr>
          <w:rFonts w:ascii="Times New Roman" w:hAnsi="Times New Roman" w:eastAsia="仿宋_GB2312"/>
          <w:color w:val="000000"/>
          <w:kern w:val="0"/>
          <w:sz w:val="30"/>
          <w:szCs w:val="32"/>
        </w:rPr>
        <w:t>收申请报告的日期为实际竣工日期；工程未经竣工验收，发包人擅自使用的，以转移占有工程之日为实际竣工日期。</w:t>
      </w:r>
    </w:p>
    <w:p w14:paraId="0DEBF8F9">
      <w:pPr>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13.2.4 拒绝接收全部或部分工程</w:t>
      </w:r>
    </w:p>
    <w:p w14:paraId="0389082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对于竣工验收不合格的工程，承包人完成整改后，</w:t>
      </w:r>
      <w:r>
        <w:rPr>
          <w:rFonts w:hint="eastAsia" w:ascii="Times New Roman" w:hAnsi="Times New Roman" w:eastAsia="仿宋_GB2312"/>
          <w:color w:val="000000"/>
          <w:kern w:val="0"/>
          <w:sz w:val="30"/>
          <w:szCs w:val="32"/>
        </w:rPr>
        <w:t>应当</w:t>
      </w:r>
      <w:r>
        <w:rPr>
          <w:rFonts w:ascii="Times New Roman" w:hAnsi="Times New Roman" w:eastAsia="仿宋_GB2312"/>
          <w:color w:val="000000"/>
          <w:kern w:val="0"/>
          <w:sz w:val="30"/>
          <w:szCs w:val="32"/>
        </w:rPr>
        <w:t>重新进行竣工验收，经重新组织验收仍不合格的且无法采取措施补救的，则发包人可以拒绝接收不合格工程，因不合格工程导致其他工程不能正常使用的，承包人应采取措施确保相关工程的正常使用，由此增加的费用和（或）延误的工期由承包人承担。</w:t>
      </w:r>
    </w:p>
    <w:p w14:paraId="5A667C4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13.2.5 移交、接收全部与部分工程</w:t>
      </w:r>
    </w:p>
    <w:p w14:paraId="42B5BEF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除专用合同条款另有约定外，</w:t>
      </w:r>
      <w:r>
        <w:rPr>
          <w:rFonts w:ascii="Times New Roman" w:hAnsi="Times New Roman" w:eastAsia="仿宋_GB2312"/>
          <w:color w:val="000000"/>
          <w:kern w:val="0"/>
          <w:sz w:val="30"/>
          <w:szCs w:val="32"/>
        </w:rPr>
        <w:t>合同当事人应当在颁发工程接收证书</w:t>
      </w:r>
      <w:r>
        <w:rPr>
          <w:rFonts w:hint="eastAsia" w:ascii="Times New Roman" w:hAnsi="Times New Roman" w:eastAsia="仿宋_GB2312"/>
          <w:color w:val="000000"/>
          <w:kern w:val="0"/>
          <w:sz w:val="30"/>
          <w:szCs w:val="32"/>
        </w:rPr>
        <w:t>后7天内</w:t>
      </w:r>
      <w:r>
        <w:rPr>
          <w:rFonts w:ascii="Times New Roman" w:hAnsi="Times New Roman" w:eastAsia="仿宋_GB2312"/>
          <w:color w:val="000000"/>
          <w:kern w:val="0"/>
          <w:sz w:val="30"/>
          <w:szCs w:val="32"/>
        </w:rPr>
        <w:t>完成工程的移交。</w:t>
      </w:r>
    </w:p>
    <w:p w14:paraId="7A3A921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发包人无正当理由不接收工程的，发包人自</w:t>
      </w:r>
      <w:r>
        <w:rPr>
          <w:rFonts w:hint="eastAsia" w:ascii="Times New Roman" w:hAnsi="Times New Roman" w:eastAsia="仿宋_GB2312"/>
          <w:color w:val="000000"/>
          <w:kern w:val="0"/>
          <w:sz w:val="30"/>
          <w:szCs w:val="32"/>
        </w:rPr>
        <w:t>应当接收工程</w:t>
      </w:r>
      <w:r>
        <w:rPr>
          <w:rFonts w:ascii="Times New Roman" w:hAnsi="Times New Roman" w:eastAsia="仿宋_GB2312"/>
          <w:color w:val="000000"/>
          <w:kern w:val="0"/>
          <w:sz w:val="30"/>
          <w:szCs w:val="32"/>
        </w:rPr>
        <w:t>之日起，承担工程照管、成品保护、保管等与工程有关的各项费用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，合同当事人可以在专用合同条款中另行约定发包人逾期接收工程的违约责任</w:t>
      </w:r>
      <w:r>
        <w:rPr>
          <w:rFonts w:ascii="Times New Roman" w:hAnsi="Times New Roman" w:eastAsia="仿宋_GB2312"/>
          <w:color w:val="000000"/>
          <w:kern w:val="0"/>
          <w:sz w:val="30"/>
          <w:szCs w:val="32"/>
        </w:rPr>
        <w:t>。</w:t>
      </w:r>
    </w:p>
    <w:p w14:paraId="4EE7CB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承包人无正当理由不移交工程的，</w:t>
      </w:r>
      <w:r>
        <w:rPr>
          <w:rFonts w:hint="eastAsia" w:ascii="Times New Roman" w:hAnsi="Times New Roman" w:eastAsia="仿宋_GB2312"/>
          <w:color w:val="000000"/>
          <w:kern w:val="0"/>
          <w:sz w:val="30"/>
          <w:szCs w:val="32"/>
        </w:rPr>
        <w:t>承包人应承担</w:t>
      </w:r>
      <w:r>
        <w:rPr>
          <w:rFonts w:ascii="Times New Roman" w:hAnsi="Times New Roman" w:eastAsia="仿宋_GB2312"/>
          <w:color w:val="000000"/>
          <w:kern w:val="0"/>
          <w:sz w:val="30"/>
          <w:szCs w:val="32"/>
        </w:rPr>
        <w:t>工程照管、成品保护、保管等与工程有关的各项费用</w:t>
      </w:r>
      <w:r>
        <w:rPr>
          <w:rFonts w:hint="eastAsia" w:ascii="Times New Roman" w:hAnsi="Times New Roman" w:eastAsia="仿宋_GB2312"/>
          <w:color w:val="000000"/>
          <w:kern w:val="0"/>
          <w:sz w:val="30"/>
          <w:szCs w:val="32"/>
        </w:rPr>
        <w:t>，合同当事人可以在专用合同条款中另行约定承包人无正当理由不移交工程的违约责任</w:t>
      </w:r>
      <w:r>
        <w:rPr>
          <w:rFonts w:ascii="Times New Roman" w:hAnsi="Times New Roman" w:eastAsia="仿宋_GB2312"/>
          <w:color w:val="000000"/>
          <w:kern w:val="0"/>
          <w:sz w:val="30"/>
          <w:szCs w:val="32"/>
        </w:rPr>
        <w:t>。</w:t>
      </w:r>
    </w:p>
    <w:p w14:paraId="2985F0A2">
      <w:pPr>
        <w:pStyle w:val="6"/>
        <w:spacing w:before="120" w:after="120" w:line="360" w:lineRule="auto"/>
        <w:ind w:firstLine="600" w:firstLineChars="200"/>
        <w:rPr>
          <w:rFonts w:ascii="Times New Roman" w:hAnsi="Times New Roman" w:eastAsia="黑体"/>
          <w:b w:val="0"/>
          <w:color w:val="000000"/>
          <w:sz w:val="30"/>
          <w:szCs w:val="32"/>
        </w:rPr>
      </w:pPr>
      <w:bookmarkStart w:id="311" w:name="_Toc351203589"/>
      <w:bookmarkStart w:id="312" w:name="_Toc296346612"/>
      <w:bookmarkStart w:id="313" w:name="_Toc337558807"/>
      <w:bookmarkStart w:id="314" w:name="_Toc296503111"/>
      <w:r>
        <w:rPr>
          <w:rFonts w:ascii="Times New Roman" w:hAnsi="Times New Roman" w:eastAsia="黑体"/>
          <w:b w:val="0"/>
          <w:color w:val="000000"/>
          <w:sz w:val="30"/>
          <w:szCs w:val="32"/>
        </w:rPr>
        <w:t>13.3工程试车</w:t>
      </w:r>
      <w:bookmarkEnd w:id="311"/>
    </w:p>
    <w:bookmarkEnd w:id="312"/>
    <w:bookmarkEnd w:id="313"/>
    <w:bookmarkEnd w:id="314"/>
    <w:p w14:paraId="5C886C3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13.3.1试车程序</w:t>
      </w:r>
    </w:p>
    <w:p w14:paraId="15C1CD4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工程需要试车的，除专用合同条款另有约定外，试车内容应与承包人承包范围相一致，试车费用由承包人承担。工程试车应按如下程序进行：</w:t>
      </w:r>
    </w:p>
    <w:p w14:paraId="2C9548C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具备单机无负荷试车条件，承包人组织试车，并在试车前48小时书面通知监理人，通知中应载明试车内容、时间、地点。承包人准备试车记录，发包人根据承包人要求为试车提供必要条件。试车合格的，监理人在试车记录上签字。监理人在试车合格后不在试车记录上签字，自试车结束满24小时后视为监理人已经认可试车记录，承包人可继续施工或办理竣工验收手续。</w:t>
      </w:r>
    </w:p>
    <w:p w14:paraId="1C34B71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不能按时参加试车，应在试车前24小时以书面形式向承包人提出延期要求，但延期不能超过48小时，由此导致工期延误的，工期应予以顺延。监理人未能在前述期限内提出延期要求，又不参加试车的，视为认可试车记录。</w:t>
      </w:r>
    </w:p>
    <w:p w14:paraId="6F7F38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具备无负荷联动试车条件，发包人组织试车，并在试车前48小时以书面形式通知承包人。通知中应载明试车内容、时间、地点和对承包人的要求，承包人按要求做好准备工作。试车合格，合同当事人在试车记录上签字。承包人无正当理由不参加试车的，视为认可试车记录。</w:t>
      </w:r>
    </w:p>
    <w:p w14:paraId="6850E7B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13.3.2 试车中的责任</w:t>
      </w:r>
    </w:p>
    <w:p w14:paraId="777BD3D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设计原因导致试车达不到验收要求，发包人应要求设计人修改设计，承包人按修改后的设计重新安装。发包人承担修改设计、拆除及重新安装的全部费用，工期相应顺延。因承包人原因导致试车达不到验收要求，承包人按监理人要求重新安装和试车，并承担重新安装和试车的费用，工期不予顺延。</w:t>
      </w:r>
    </w:p>
    <w:p w14:paraId="66844D4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工程设备制造原因导致试车达不到验收要求的，由采购该工程设备的合同当事人负责重新购置或修理，承包人负责拆除和重新安装，由此增加的修理、重新购置、拆除及重新安装的费用及延误的工期由采购该工程设备的合同当事人承担。</w:t>
      </w:r>
    </w:p>
    <w:p w14:paraId="420D668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2CA33509">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如需进行投料试车的，</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应在</w:t>
      </w:r>
      <w:r>
        <w:rPr>
          <w:rFonts w:ascii="Times New Roman" w:hAnsi="Times New Roman" w:eastAsia="仿宋_GB2312"/>
          <w:color w:val="000000"/>
          <w:kern w:val="0"/>
          <w:sz w:val="30"/>
          <w:szCs w:val="32"/>
        </w:rPr>
        <w:t>工程竣工验收后</w:t>
      </w:r>
      <w:r>
        <w:rPr>
          <w:rFonts w:hint="eastAsia" w:ascii="Times New Roman" w:hAnsi="Times New Roman" w:eastAsia="仿宋_GB2312"/>
          <w:color w:val="000000"/>
          <w:kern w:val="0"/>
          <w:sz w:val="30"/>
          <w:szCs w:val="32"/>
        </w:rPr>
        <w:t>组织</w:t>
      </w:r>
      <w:r>
        <w:rPr>
          <w:rFonts w:ascii="Times New Roman" w:hAnsi="Times New Roman" w:eastAsia="仿宋_GB2312"/>
          <w:color w:val="000000"/>
          <w:kern w:val="0"/>
          <w:sz w:val="30"/>
          <w:szCs w:val="32"/>
        </w:rPr>
        <w:t>投料试车</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发包人要求在工程竣工验收前进行或需要承包人配合时，应征得承包人同意</w:t>
      </w:r>
      <w:r>
        <w:rPr>
          <w:rFonts w:hint="eastAsia" w:ascii="Times New Roman" w:hAnsi="Times New Roman" w:eastAsia="仿宋_GB2312"/>
          <w:color w:val="000000"/>
          <w:kern w:val="0"/>
          <w:sz w:val="30"/>
          <w:szCs w:val="32"/>
        </w:rPr>
        <w:t>，并在专用合同条款中约定有关事项</w:t>
      </w:r>
      <w:r>
        <w:rPr>
          <w:rFonts w:ascii="Times New Roman" w:hAnsi="Times New Roman" w:eastAsia="仿宋_GB2312"/>
          <w:color w:val="000000"/>
          <w:kern w:val="0"/>
          <w:sz w:val="30"/>
          <w:szCs w:val="32"/>
        </w:rPr>
        <w:t>。</w:t>
      </w:r>
    </w:p>
    <w:p w14:paraId="3B42A90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投料试车合格的，费用由发包人承担；因承包人原因造成投料试车不合格的，承包人应按照发包人要求进行整改，由此产生的整改费用由承包人承担；非因承包人原因导致投料试车不合格的，</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发包人要求承包人进行整改</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，由此产生的费用由发包人承担。</w:t>
      </w:r>
    </w:p>
    <w:p w14:paraId="0A693D26">
      <w:pPr>
        <w:pStyle w:val="6"/>
        <w:spacing w:before="120" w:after="120" w:line="360" w:lineRule="auto"/>
        <w:rPr>
          <w:rFonts w:ascii="Times New Roman" w:hAnsi="Times New Roman" w:eastAsia="黑体"/>
          <w:b w:val="0"/>
          <w:color w:val="000000"/>
          <w:sz w:val="30"/>
          <w:szCs w:val="32"/>
        </w:rPr>
      </w:pPr>
      <w:bookmarkStart w:id="315" w:name="_Toc337558808"/>
      <w:r>
        <w:rPr>
          <w:rFonts w:ascii="Times New Roman" w:hAnsi="Times New Roman" w:eastAsia="黑体"/>
          <w:b w:val="0"/>
          <w:color w:val="000000"/>
          <w:sz w:val="30"/>
          <w:szCs w:val="32"/>
        </w:rPr>
        <w:t xml:space="preserve">    </w:t>
      </w:r>
      <w:bookmarkStart w:id="316" w:name="_Toc351203590"/>
      <w:r>
        <w:rPr>
          <w:rFonts w:ascii="Times New Roman" w:hAnsi="Times New Roman" w:eastAsia="黑体"/>
          <w:b w:val="0"/>
          <w:color w:val="000000"/>
          <w:sz w:val="30"/>
          <w:szCs w:val="32"/>
        </w:rPr>
        <w:t>13.4提前交付单位工程的验收</w:t>
      </w:r>
      <w:bookmarkEnd w:id="316"/>
    </w:p>
    <w:bookmarkEnd w:id="315"/>
    <w:p w14:paraId="72B8D29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13.4.1 发包人需要在工程竣工前使用单位工程的，或承包人提出提前交付已经竣工的单位工程且经发包人同意的，可进行单位工程验收，验收的程序按照第13.2款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的约定进行。</w:t>
      </w:r>
    </w:p>
    <w:p w14:paraId="45CD99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验收合格后，由监理人向承包人出具经发包人签认的单位工程接收证书。已签发单位工程接收证书的单位工程由发包人负责照管。单位工程的验收成果和结论作为整体工程竣工验收申请报告的附件。</w:t>
      </w:r>
    </w:p>
    <w:p w14:paraId="0706A7F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13.4.2 发包人要求在工程竣工前交付单位工程，由此导致承包人费用增加和（或）工期延误的，由发包人承担由此增加的费用和（或）延误的工期，并支付承包人合理的利润。</w:t>
      </w:r>
    </w:p>
    <w:p w14:paraId="6936F583">
      <w:pPr>
        <w:pStyle w:val="6"/>
        <w:spacing w:before="120" w:after="120" w:line="360" w:lineRule="auto"/>
        <w:ind w:firstLine="600" w:firstLineChars="200"/>
        <w:rPr>
          <w:rFonts w:ascii="Times New Roman" w:hAnsi="Times New Roman" w:eastAsia="黑体"/>
          <w:b w:val="0"/>
          <w:color w:val="000000"/>
          <w:sz w:val="30"/>
          <w:szCs w:val="32"/>
        </w:rPr>
      </w:pPr>
      <w:bookmarkStart w:id="317" w:name="_Toc351203591"/>
      <w:r>
        <w:rPr>
          <w:rFonts w:ascii="Times New Roman" w:hAnsi="Times New Roman" w:eastAsia="黑体"/>
          <w:b w:val="0"/>
          <w:color w:val="000000"/>
          <w:sz w:val="30"/>
          <w:szCs w:val="32"/>
        </w:rPr>
        <w:t>13.5 施工期运行</w:t>
      </w:r>
      <w:bookmarkEnd w:id="317"/>
    </w:p>
    <w:p w14:paraId="5E6ACE7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13.5.1 施工期运行是指合同工程尚未全部竣工，其中某项或某几项单位工程或工程设备安装已竣工，根据专用合同条款约定，需要投入施工期运行的，经发包人按第13.4款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提前交付单位工程的验收</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的约定验收合格，证明能确保安全后，才能在施工期投入运行。</w:t>
      </w:r>
    </w:p>
    <w:p w14:paraId="3D1342AB">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13.5.2 在施工期运行中发现工程或工程设备损坏或存在缺陷的，由承包人按第15.2款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约定进行修复。</w:t>
      </w:r>
    </w:p>
    <w:p w14:paraId="2E6072B8">
      <w:pPr>
        <w:pStyle w:val="6"/>
        <w:spacing w:before="120" w:after="120" w:line="360" w:lineRule="auto"/>
        <w:ind w:firstLine="600" w:firstLineChars="200"/>
        <w:rPr>
          <w:rFonts w:ascii="Times New Roman" w:hAnsi="Times New Roman" w:eastAsia="黑体"/>
          <w:b w:val="0"/>
          <w:color w:val="000000"/>
          <w:sz w:val="30"/>
          <w:szCs w:val="32"/>
        </w:rPr>
      </w:pPr>
      <w:bookmarkStart w:id="318" w:name="_Toc296503112"/>
      <w:bookmarkStart w:id="319" w:name="_Toc296346613"/>
      <w:bookmarkStart w:id="320" w:name="_Toc351203592"/>
      <w:bookmarkStart w:id="321" w:name="_Toc337558809"/>
      <w:r>
        <w:rPr>
          <w:rFonts w:ascii="Times New Roman" w:hAnsi="Times New Roman" w:eastAsia="黑体"/>
          <w:b w:val="0"/>
          <w:color w:val="000000"/>
          <w:sz w:val="30"/>
          <w:szCs w:val="32"/>
        </w:rPr>
        <w:t>13.6 竣工退</w:t>
      </w:r>
      <w:bookmarkEnd w:id="318"/>
      <w:bookmarkEnd w:id="319"/>
      <w:r>
        <w:rPr>
          <w:rFonts w:ascii="Times New Roman" w:hAnsi="Times New Roman" w:eastAsia="黑体"/>
          <w:b w:val="0"/>
          <w:color w:val="000000"/>
          <w:sz w:val="30"/>
          <w:szCs w:val="32"/>
        </w:rPr>
        <w:t>场</w:t>
      </w:r>
      <w:bookmarkEnd w:id="320"/>
    </w:p>
    <w:bookmarkEnd w:id="321"/>
    <w:p w14:paraId="19BDD7A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26A82DE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颁发工程接收证书后，承包人应按以下要求对施工现场进行清理：</w:t>
      </w:r>
    </w:p>
    <w:p w14:paraId="7519D1E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（1）施工现场内残留的垃圾已全部清除出场；</w:t>
      </w:r>
    </w:p>
    <w:p w14:paraId="2780D3E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（2）临时工程已拆除，场地已进行清理、平整或复原；</w:t>
      </w:r>
    </w:p>
    <w:p w14:paraId="6E6F096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（3）按合同约定应撤离的人员、承包人施工设备和剩余的材料，包括废弃的施工设备和材料，已按计划撤离施工现场；</w:t>
      </w:r>
    </w:p>
    <w:p w14:paraId="14EB086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（4）施工现场周边及其附近道路、河道的施工堆积物，已全部清理；</w:t>
      </w:r>
    </w:p>
    <w:p w14:paraId="2E27232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（5）施工现场其他场地清理工作已全部完成。</w:t>
      </w:r>
    </w:p>
    <w:p w14:paraId="10DCE8F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施工现场的竣工退场费用由承包人承担。承包人应在专用合同条款约定的期限内完成竣工退场，逾期未完成的，发包人有权出售或另行处理承包人遗留的物品，由此支出的费用由承包人承担，发包人出售承包人遗留物品所得款项在扣除必要费用后应返还承包人。</w:t>
      </w:r>
    </w:p>
    <w:p w14:paraId="17F4196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13.6.2 地表还原</w:t>
      </w:r>
    </w:p>
    <w:p w14:paraId="5C551FB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承包人应按发包人要求恢复临时占地及清理场地，承包人未按发包人的要求恢复临时占地，或者场地清理未达到合同约定要求的，发包人有权委托其他人恢复或清理，所发生的费用由承包人承担。</w:t>
      </w:r>
    </w:p>
    <w:p w14:paraId="648E2062">
      <w:pPr>
        <w:pStyle w:val="5"/>
        <w:spacing w:before="120" w:after="120" w:line="360" w:lineRule="auto"/>
        <w:rPr>
          <w:rFonts w:ascii="Times New Roman" w:hAnsi="Times New Roman" w:eastAsia="黑体"/>
          <w:b w:val="0"/>
          <w:color w:val="000000"/>
          <w:sz w:val="32"/>
          <w:szCs w:val="32"/>
        </w:rPr>
      </w:pPr>
      <w:bookmarkStart w:id="322" w:name="_Toc351203593"/>
      <w:bookmarkStart w:id="323" w:name="_Toc337558810"/>
      <w:bookmarkStart w:id="324" w:name="_Toc296346614"/>
      <w:bookmarkStart w:id="325" w:name="_Toc296503113"/>
      <w:r>
        <w:rPr>
          <w:rFonts w:ascii="Times New Roman" w:hAnsi="Times New Roman" w:eastAsia="黑体"/>
          <w:b w:val="0"/>
          <w:color w:val="000000"/>
          <w:sz w:val="32"/>
          <w:szCs w:val="32"/>
        </w:rPr>
        <w:t>14. 竣工结算</w:t>
      </w:r>
      <w:bookmarkEnd w:id="322"/>
    </w:p>
    <w:bookmarkEnd w:id="323"/>
    <w:p w14:paraId="390413A6">
      <w:pPr>
        <w:pStyle w:val="6"/>
        <w:spacing w:before="120" w:after="120" w:line="360" w:lineRule="auto"/>
        <w:ind w:firstLine="600" w:firstLineChars="200"/>
        <w:rPr>
          <w:rFonts w:ascii="Times New Roman" w:hAnsi="Times New Roman" w:eastAsia="黑体"/>
          <w:b w:val="0"/>
          <w:color w:val="000000"/>
          <w:sz w:val="30"/>
          <w:szCs w:val="32"/>
        </w:rPr>
      </w:pPr>
      <w:bookmarkStart w:id="326" w:name="_Toc351203594"/>
      <w:bookmarkStart w:id="327" w:name="_Toc337558811"/>
      <w:r>
        <w:rPr>
          <w:rFonts w:ascii="Times New Roman" w:hAnsi="Times New Roman" w:eastAsia="黑体"/>
          <w:b w:val="0"/>
          <w:color w:val="000000"/>
          <w:sz w:val="30"/>
          <w:szCs w:val="32"/>
        </w:rPr>
        <w:t>14.1 竣工结算申请</w:t>
      </w:r>
      <w:bookmarkEnd w:id="326"/>
    </w:p>
    <w:bookmarkEnd w:id="327"/>
    <w:p w14:paraId="2C8DAA57">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除专用合同条款另有约定外，</w:t>
      </w:r>
      <w:r>
        <w:rPr>
          <w:rFonts w:ascii="Times New Roman" w:hAnsi="Times New Roman" w:eastAsia="仿宋_GB2312"/>
          <w:color w:val="000000"/>
          <w:sz w:val="30"/>
          <w:szCs w:val="32"/>
        </w:rPr>
        <w:t>承包人应在工程竣工验收合格后28天内向发包人和监理人提交竣工结算申请单，并提交完整的结算资料，</w:t>
      </w:r>
      <w:r>
        <w:rPr>
          <w:rFonts w:hint="eastAsia" w:ascii="Times New Roman" w:hAnsi="Times New Roman" w:eastAsia="仿宋_GB2312"/>
          <w:color w:val="000000"/>
          <w:sz w:val="30"/>
          <w:szCs w:val="32"/>
        </w:rPr>
        <w:t>有关</w:t>
      </w:r>
      <w:r>
        <w:rPr>
          <w:rFonts w:ascii="Times New Roman" w:hAnsi="Times New Roman" w:eastAsia="仿宋_GB2312"/>
          <w:color w:val="000000"/>
          <w:sz w:val="30"/>
          <w:szCs w:val="32"/>
        </w:rPr>
        <w:t>竣工结算申请单</w:t>
      </w:r>
      <w:r>
        <w:rPr>
          <w:rFonts w:hint="eastAsia" w:ascii="Times New Roman" w:hAnsi="Times New Roman" w:eastAsia="仿宋_GB2312"/>
          <w:color w:val="000000"/>
          <w:sz w:val="30"/>
          <w:szCs w:val="32"/>
        </w:rPr>
        <w:t>的资料清单和</w:t>
      </w:r>
      <w:r>
        <w:rPr>
          <w:rFonts w:ascii="Times New Roman" w:hAnsi="Times New Roman" w:eastAsia="仿宋_GB2312"/>
          <w:color w:val="000000"/>
          <w:sz w:val="30"/>
          <w:szCs w:val="32"/>
        </w:rPr>
        <w:t>份数</w:t>
      </w:r>
      <w:r>
        <w:rPr>
          <w:rFonts w:hint="eastAsia" w:ascii="Times New Roman" w:hAnsi="Times New Roman" w:eastAsia="仿宋_GB2312"/>
          <w:color w:val="000000"/>
          <w:sz w:val="30"/>
          <w:szCs w:val="32"/>
        </w:rPr>
        <w:t>等要求</w:t>
      </w:r>
      <w:r>
        <w:rPr>
          <w:rFonts w:ascii="Times New Roman" w:hAnsi="Times New Roman" w:eastAsia="仿宋_GB2312"/>
          <w:color w:val="000000"/>
          <w:sz w:val="30"/>
          <w:szCs w:val="32"/>
        </w:rPr>
        <w:t>由合同当事人在专用合同条款中约定。</w:t>
      </w:r>
    </w:p>
    <w:p w14:paraId="7B16A980">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除专用合同条款另有约定外，竣工结算申请单应包括以下内容：</w:t>
      </w:r>
    </w:p>
    <w:p w14:paraId="76C07F03">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（1）竣工结算合同价格；</w:t>
      </w:r>
    </w:p>
    <w:p w14:paraId="2720860D">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（2）发包人已支付承包人的款项；</w:t>
      </w:r>
    </w:p>
    <w:p w14:paraId="5B895C85">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（3）应扣留的质量保证金</w:t>
      </w:r>
      <w:r>
        <w:rPr>
          <w:rFonts w:hint="eastAsia" w:eastAsia="仿宋_GB2312"/>
          <w:color w:val="000000"/>
          <w:sz w:val="30"/>
          <w:szCs w:val="32"/>
        </w:rPr>
        <w:t>。已缴纳履约保证金的或提供其他工程质量担保方式的除外</w:t>
      </w:r>
      <w:r>
        <w:rPr>
          <w:rFonts w:ascii="Times New Roman" w:hAnsi="Times New Roman" w:eastAsia="仿宋_GB2312"/>
          <w:color w:val="000000"/>
          <w:sz w:val="30"/>
          <w:szCs w:val="32"/>
        </w:rPr>
        <w:t xml:space="preserve">； </w:t>
      </w:r>
    </w:p>
    <w:p w14:paraId="5DC548CD">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（4）发包人应支付承包人的合同价款。</w:t>
      </w:r>
    </w:p>
    <w:p w14:paraId="64146DE5">
      <w:pPr>
        <w:pStyle w:val="6"/>
        <w:spacing w:before="120" w:after="120" w:line="360" w:lineRule="auto"/>
        <w:ind w:firstLine="600" w:firstLineChars="200"/>
        <w:rPr>
          <w:rFonts w:ascii="Times New Roman" w:hAnsi="Times New Roman" w:eastAsia="黑体"/>
          <w:b w:val="0"/>
          <w:color w:val="000000"/>
          <w:sz w:val="30"/>
          <w:szCs w:val="32"/>
        </w:rPr>
      </w:pPr>
      <w:bookmarkStart w:id="328" w:name="_Toc351203595"/>
      <w:bookmarkStart w:id="329" w:name="_Toc337558812"/>
      <w:r>
        <w:rPr>
          <w:rFonts w:ascii="Times New Roman" w:hAnsi="Times New Roman" w:eastAsia="黑体"/>
          <w:b w:val="0"/>
          <w:color w:val="000000"/>
          <w:sz w:val="30"/>
          <w:szCs w:val="32"/>
        </w:rPr>
        <w:t>14.2 竣工结算审核</w:t>
      </w:r>
      <w:bookmarkEnd w:id="328"/>
    </w:p>
    <w:bookmarkEnd w:id="329"/>
    <w:p w14:paraId="36B7F88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（1）除专用合同条款另有约定外，监理人应在收到竣工结算申请单后14天内完成核查并报送发包人。发包人应在收到监理人提交的经审核的竣工结算申请单后14天内完成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，并由监理人向承包人签发经发包人签认的竣工付款证书。监理人或</w:t>
      </w:r>
      <w:r>
        <w:rPr>
          <w:rFonts w:ascii="Times New Roman" w:hAnsi="Times New Roman" w:eastAsia="仿宋_GB2312"/>
          <w:color w:val="000000"/>
          <w:sz w:val="30"/>
          <w:szCs w:val="32"/>
        </w:rPr>
        <w:t>发包人对竣工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申请单有异议的，有权要求承包人进行修正和提供补充资料，承包人应提交修正后的竣工</w:t>
      </w:r>
      <w:r>
        <w:rPr>
          <w:rFonts w:ascii="Times New Roman" w:hAnsi="Times New Roman" w:eastAsia="仿宋_GB2312"/>
          <w:color w:val="000000"/>
          <w:kern w:val="0"/>
          <w:sz w:val="30"/>
          <w:szCs w:val="32"/>
        </w:rPr>
        <w:t>结算</w:t>
      </w:r>
      <w:r>
        <w:rPr>
          <w:rFonts w:ascii="Times New Roman" w:hAnsi="Times New Roman" w:eastAsia="仿宋_GB2312"/>
          <w:color w:val="000000"/>
          <w:sz w:val="30"/>
          <w:szCs w:val="32"/>
        </w:rPr>
        <w:t>申请单。</w:t>
      </w:r>
    </w:p>
    <w:p w14:paraId="07C252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发包人在收到承包人提交竣工结算申请书后28天</w:t>
      </w:r>
      <w:r>
        <w:rPr>
          <w:rFonts w:hint="eastAsia" w:ascii="Times New Roman" w:hAnsi="Times New Roman" w:eastAsia="仿宋_GB2312"/>
          <w:color w:val="000000"/>
          <w:kern w:val="0"/>
          <w:sz w:val="30"/>
          <w:szCs w:val="32"/>
        </w:rPr>
        <w:t>内</w:t>
      </w:r>
      <w:r>
        <w:rPr>
          <w:rFonts w:ascii="Times New Roman" w:hAnsi="Times New Roman" w:eastAsia="仿宋_GB2312"/>
          <w:color w:val="000000"/>
          <w:kern w:val="0"/>
          <w:sz w:val="30"/>
          <w:szCs w:val="32"/>
        </w:rPr>
        <w:t>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且未提出异议的，视为发包人认可承包人提交的竣工结算申请单，并自发包人收到承包人提交的竣工结算申请单后第29天起视为已签发竣工付款证书。</w:t>
      </w:r>
    </w:p>
    <w:p w14:paraId="63C675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（2）除专用合同条款另有约定外，发包人应在签发竣工付款证书后的14 天内，完成对承包人的竣工付款。发包人逾期支付的，按照中国人民银行发布的同期同类贷款基准利率支付违约金；逾期支付超过56天的，按照中国人民银行发布的同期同类贷款基准利率的两倍支付违约金。</w:t>
      </w:r>
    </w:p>
    <w:p w14:paraId="73AB87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（3）承包人对发包人签认的竣工付款证书有异议的，对于有异议部分应在收到发包人签认的竣工付款证书后7天内提出异议，并由合同当事人按照专用合同条款约定</w:t>
      </w:r>
      <w:r>
        <w:rPr>
          <w:rFonts w:hint="eastAsia" w:ascii="Times New Roman" w:hAnsi="Times New Roman" w:eastAsia="仿宋_GB2312"/>
          <w:color w:val="000000"/>
          <w:kern w:val="0"/>
          <w:sz w:val="30"/>
          <w:szCs w:val="32"/>
        </w:rPr>
        <w:t>的方式和程序</w:t>
      </w:r>
      <w:r>
        <w:rPr>
          <w:rFonts w:ascii="Times New Roman" w:hAnsi="Times New Roman" w:eastAsia="仿宋_GB2312"/>
          <w:color w:val="000000"/>
          <w:kern w:val="0"/>
          <w:sz w:val="30"/>
          <w:szCs w:val="32"/>
        </w:rPr>
        <w:t>进行复核，或按照第20条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约定处理。对于无异议部分，发包人应签发临时竣工付款证书，并按本款第（2）项完成付款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承包人逾期未提出异议的，视为认可发包人的</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结果。</w:t>
      </w:r>
    </w:p>
    <w:p w14:paraId="612BA760">
      <w:pPr>
        <w:pStyle w:val="6"/>
        <w:spacing w:before="120" w:after="120" w:line="360" w:lineRule="auto"/>
        <w:ind w:firstLine="600" w:firstLineChars="200"/>
        <w:rPr>
          <w:rFonts w:ascii="Times New Roman" w:hAnsi="Times New Roman" w:eastAsia="黑体"/>
          <w:b w:val="0"/>
          <w:color w:val="000000"/>
          <w:sz w:val="30"/>
          <w:szCs w:val="32"/>
        </w:rPr>
      </w:pPr>
      <w:bookmarkStart w:id="330" w:name="_Toc351203596"/>
      <w:bookmarkStart w:id="331" w:name="_Toc337558813"/>
      <w:r>
        <w:rPr>
          <w:rFonts w:ascii="Times New Roman" w:hAnsi="Times New Roman" w:eastAsia="黑体"/>
          <w:b w:val="0"/>
          <w:color w:val="000000"/>
          <w:sz w:val="30"/>
          <w:szCs w:val="32"/>
        </w:rPr>
        <w:t>14.3 甩项竣工协议</w:t>
      </w:r>
      <w:bookmarkEnd w:id="330"/>
    </w:p>
    <w:bookmarkEnd w:id="331"/>
    <w:p w14:paraId="2540B476">
      <w:pPr>
        <w:autoSpaceDE w:val="0"/>
        <w:autoSpaceDN w:val="0"/>
        <w:adjustRightInd w:val="0"/>
        <w:spacing w:line="360" w:lineRule="auto"/>
        <w:ind w:firstLine="588" w:firstLineChars="196"/>
        <w:jc w:val="left"/>
        <w:rPr>
          <w:rFonts w:ascii="Times New Roman" w:hAnsi="Times New Roman" w:eastAsia="仿宋_GB2312"/>
          <w:color w:val="000000"/>
          <w:kern w:val="0"/>
          <w:sz w:val="30"/>
          <w:szCs w:val="32"/>
          <w:lang/>
        </w:rPr>
      </w:pPr>
      <w:r>
        <w:rPr>
          <w:rFonts w:ascii="Times New Roman" w:hAnsi="Times New Roman" w:eastAsia="仿宋_GB2312"/>
          <w:sz w:val="30"/>
          <w:szCs w:val="32"/>
          <w:lang/>
        </w:rPr>
        <w:t>发包人要求甩项竣工的，合同当事人应签订甩项竣工协议。在甩项竣工协议中应明确，合同当事人按照第14.1款</w:t>
      </w:r>
      <w:r>
        <w:rPr>
          <w:rFonts w:hint="eastAsia" w:ascii="Times New Roman" w:hAnsi="Times New Roman" w:eastAsia="仿宋_GB2312"/>
          <w:sz w:val="30"/>
          <w:szCs w:val="32"/>
          <w:lang/>
        </w:rPr>
        <w:t>〔</w:t>
      </w:r>
      <w:r>
        <w:rPr>
          <w:rFonts w:ascii="Times New Roman" w:hAnsi="Times New Roman" w:eastAsia="仿宋_GB2312"/>
          <w:sz w:val="30"/>
          <w:szCs w:val="32"/>
          <w:lang/>
        </w:rPr>
        <w:t>竣工</w:t>
      </w:r>
      <w:r>
        <w:rPr>
          <w:rFonts w:hint="eastAsia" w:ascii="Times New Roman" w:hAnsi="Times New Roman" w:eastAsia="仿宋_GB2312"/>
          <w:sz w:val="30"/>
          <w:szCs w:val="32"/>
          <w:lang/>
        </w:rPr>
        <w:t>结算</w:t>
      </w:r>
      <w:r>
        <w:rPr>
          <w:rFonts w:ascii="Times New Roman" w:hAnsi="Times New Roman" w:eastAsia="仿宋_GB2312"/>
          <w:sz w:val="30"/>
          <w:szCs w:val="32"/>
          <w:lang/>
        </w:rPr>
        <w:t>申请</w:t>
      </w:r>
      <w:r>
        <w:rPr>
          <w:rFonts w:hint="eastAsia" w:ascii="Times New Roman" w:hAnsi="Times New Roman" w:eastAsia="仿宋_GB2312"/>
          <w:sz w:val="30"/>
          <w:szCs w:val="32"/>
          <w:lang/>
        </w:rPr>
        <w:t>〕</w:t>
      </w:r>
      <w:r>
        <w:rPr>
          <w:rFonts w:ascii="Times New Roman" w:hAnsi="Times New Roman" w:eastAsia="仿宋_GB2312"/>
          <w:sz w:val="30"/>
          <w:szCs w:val="32"/>
          <w:lang/>
        </w:rPr>
        <w:t>及14.2款</w:t>
      </w:r>
      <w:r>
        <w:rPr>
          <w:rFonts w:hint="eastAsia" w:ascii="Times New Roman" w:hAnsi="Times New Roman" w:eastAsia="仿宋_GB2312"/>
          <w:sz w:val="30"/>
          <w:szCs w:val="32"/>
          <w:lang/>
        </w:rPr>
        <w:t>〔</w:t>
      </w:r>
      <w:r>
        <w:rPr>
          <w:rFonts w:ascii="Times New Roman" w:hAnsi="Times New Roman" w:eastAsia="仿宋_GB2312"/>
          <w:sz w:val="30"/>
          <w:szCs w:val="32"/>
          <w:lang/>
        </w:rPr>
        <w:t>竣工结算审核</w:t>
      </w:r>
      <w:r>
        <w:rPr>
          <w:rFonts w:hint="eastAsia" w:ascii="Times New Roman" w:hAnsi="Times New Roman" w:eastAsia="仿宋_GB2312"/>
          <w:sz w:val="30"/>
          <w:szCs w:val="32"/>
          <w:lang/>
        </w:rPr>
        <w:t>〕</w:t>
      </w:r>
      <w:r>
        <w:rPr>
          <w:rFonts w:ascii="Times New Roman" w:hAnsi="Times New Roman" w:eastAsia="仿宋_GB2312"/>
          <w:sz w:val="30"/>
          <w:szCs w:val="32"/>
          <w:lang/>
        </w:rPr>
        <w:t>的约定，</w:t>
      </w:r>
      <w:r>
        <w:rPr>
          <w:rFonts w:hint="eastAsia" w:ascii="Times New Roman" w:hAnsi="Times New Roman" w:eastAsia="仿宋_GB2312"/>
          <w:sz w:val="30"/>
          <w:szCs w:val="32"/>
          <w:lang/>
        </w:rPr>
        <w:t>对已</w:t>
      </w:r>
      <w:r>
        <w:rPr>
          <w:rFonts w:ascii="Times New Roman" w:hAnsi="Times New Roman" w:eastAsia="仿宋_GB2312"/>
          <w:sz w:val="30"/>
          <w:szCs w:val="32"/>
          <w:lang/>
        </w:rPr>
        <w:t>完合格工程</w:t>
      </w:r>
      <w:r>
        <w:rPr>
          <w:rFonts w:hint="eastAsia" w:ascii="Times New Roman" w:hAnsi="Times New Roman" w:eastAsia="仿宋_GB2312"/>
          <w:sz w:val="30"/>
          <w:szCs w:val="32"/>
          <w:lang/>
        </w:rPr>
        <w:t>进行</w:t>
      </w:r>
      <w:r>
        <w:rPr>
          <w:rFonts w:ascii="Times New Roman" w:hAnsi="Times New Roman" w:eastAsia="仿宋_GB2312"/>
          <w:sz w:val="30"/>
          <w:szCs w:val="32"/>
          <w:lang/>
        </w:rPr>
        <w:t>结算，并支付相应</w:t>
      </w:r>
      <w:r>
        <w:rPr>
          <w:rFonts w:hint="eastAsia" w:ascii="Times New Roman" w:hAnsi="Times New Roman" w:eastAsia="仿宋_GB2312"/>
          <w:sz w:val="30"/>
          <w:szCs w:val="32"/>
          <w:lang/>
        </w:rPr>
        <w:t>合同</w:t>
      </w:r>
      <w:r>
        <w:rPr>
          <w:rFonts w:ascii="Times New Roman" w:hAnsi="Times New Roman" w:eastAsia="仿宋_GB2312"/>
          <w:sz w:val="30"/>
          <w:szCs w:val="32"/>
          <w:lang/>
        </w:rPr>
        <w:t>价款。</w:t>
      </w:r>
    </w:p>
    <w:p w14:paraId="1C2BA0B5">
      <w:pPr>
        <w:pStyle w:val="6"/>
        <w:spacing w:before="120" w:after="120" w:line="360" w:lineRule="auto"/>
        <w:ind w:firstLine="600" w:firstLineChars="200"/>
        <w:rPr>
          <w:rFonts w:ascii="Times New Roman" w:hAnsi="Times New Roman" w:eastAsia="黑体"/>
          <w:b w:val="0"/>
          <w:color w:val="000000"/>
          <w:sz w:val="30"/>
          <w:szCs w:val="32"/>
        </w:rPr>
      </w:pPr>
      <w:bookmarkStart w:id="332" w:name="_Toc351203597"/>
      <w:bookmarkStart w:id="333" w:name="_Toc337558814"/>
      <w:r>
        <w:rPr>
          <w:rFonts w:ascii="Times New Roman" w:hAnsi="Times New Roman" w:eastAsia="黑体"/>
          <w:b w:val="0"/>
          <w:color w:val="000000"/>
          <w:sz w:val="30"/>
          <w:szCs w:val="32"/>
        </w:rPr>
        <w:t>14.4 最终结清</w:t>
      </w:r>
      <w:bookmarkEnd w:id="332"/>
    </w:p>
    <w:bookmarkEnd w:id="333"/>
    <w:p w14:paraId="45852BA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0B97B6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（1）除专用合同条款另有约定外，承包人应在缺陷责任期终止证书颁发后7天内，按专用合同条款约定的份数向发包人提交最终结清申请单，并提供相关证明材料。</w:t>
      </w:r>
    </w:p>
    <w:p w14:paraId="136702B2">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w:t>
      </w:r>
      <w:r>
        <w:rPr>
          <w:rFonts w:ascii="Times New Roman" w:hAnsi="Times New Roman" w:eastAsia="仿宋_GB2312"/>
          <w:color w:val="000000"/>
          <w:kern w:val="0"/>
          <w:sz w:val="30"/>
          <w:szCs w:val="32"/>
        </w:rPr>
        <w:t>最终结清申请单</w:t>
      </w:r>
      <w:r>
        <w:rPr>
          <w:rFonts w:ascii="Times New Roman" w:hAnsi="Times New Roman" w:eastAsia="仿宋_GB2312"/>
          <w:color w:val="000000"/>
          <w:sz w:val="30"/>
          <w:szCs w:val="32"/>
        </w:rPr>
        <w:t>应列明质量保证金、应扣除的质量保证金、缺陷责任期内发生的增减费用。</w:t>
      </w:r>
    </w:p>
    <w:p w14:paraId="26A1B95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（2）发包人对最终结清申请单内容有异议的，有权要求承包人进行修正和提供补充资料，承包人应向发包人提交修正后的最终结清申请单。</w:t>
      </w:r>
    </w:p>
    <w:p w14:paraId="6B93606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14.4.2 最终结清证书和支付</w:t>
      </w:r>
    </w:p>
    <w:p w14:paraId="298F438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（1）除专用合同条款另有约定外，发包人应在收到承包人提交的最终结清申请单后14天内完成审批并向承包人颁发最终结清证书。发包人逾期未完成</w:t>
      </w:r>
      <w:r>
        <w:rPr>
          <w:rFonts w:hint="eastAsia" w:ascii="Times New Roman" w:hAnsi="Times New Roman" w:eastAsia="仿宋_GB2312"/>
          <w:color w:val="000000"/>
          <w:kern w:val="0"/>
          <w:sz w:val="30"/>
          <w:szCs w:val="32"/>
        </w:rPr>
        <w:t>审批</w:t>
      </w:r>
      <w:r>
        <w:rPr>
          <w:rFonts w:ascii="Times New Roman" w:hAnsi="Times New Roman" w:eastAsia="仿宋_GB2312"/>
          <w:color w:val="000000"/>
          <w:kern w:val="0"/>
          <w:sz w:val="30"/>
          <w:szCs w:val="32"/>
        </w:rPr>
        <w:t>，又未提出修改意见的，视为发包人同意承包人提交的最终结清申请单，且自发包人收到承包人提交的最终结清申请单后15天起视为已颁发最终结清证书。</w:t>
      </w:r>
    </w:p>
    <w:p w14:paraId="57A623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除专用合同条款另有约定外，发包人应在颁发最终结清证书后7天内完成支付。发包人逾期支付的，按照中国人民银行发布的同期同类贷款基准利率支付违约金；逾期支付超过56天的，按照中国人民银行发布的同期同类贷款基准利率的两倍支付违约金。</w:t>
      </w:r>
    </w:p>
    <w:p w14:paraId="3480112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（3）承包人对发包人颁发的最终结清证书有异议的，按第20条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的约定办理。</w:t>
      </w:r>
    </w:p>
    <w:p w14:paraId="7FE5B7A1">
      <w:pPr>
        <w:pStyle w:val="5"/>
        <w:spacing w:before="120" w:after="120" w:line="360" w:lineRule="auto"/>
        <w:rPr>
          <w:rFonts w:ascii="Times New Roman" w:hAnsi="Times New Roman" w:eastAsia="黑体"/>
          <w:b w:val="0"/>
          <w:color w:val="000000"/>
          <w:sz w:val="32"/>
          <w:szCs w:val="32"/>
        </w:rPr>
      </w:pPr>
      <w:bookmarkStart w:id="334" w:name="_Toc351203598"/>
      <w:bookmarkStart w:id="335" w:name="_Toc337558815"/>
      <w:r>
        <w:rPr>
          <w:rFonts w:ascii="Times New Roman" w:hAnsi="Times New Roman" w:eastAsia="黑体"/>
          <w:b w:val="0"/>
          <w:color w:val="000000"/>
          <w:sz w:val="32"/>
          <w:szCs w:val="32"/>
        </w:rPr>
        <w:t>15. 缺陷责任与保修</w:t>
      </w:r>
      <w:bookmarkEnd w:id="334"/>
    </w:p>
    <w:bookmarkEnd w:id="324"/>
    <w:bookmarkEnd w:id="325"/>
    <w:bookmarkEnd w:id="335"/>
    <w:p w14:paraId="1CF06A53">
      <w:pPr>
        <w:pStyle w:val="6"/>
        <w:spacing w:before="120" w:after="120" w:line="360" w:lineRule="auto"/>
        <w:ind w:firstLine="600" w:firstLineChars="200"/>
        <w:rPr>
          <w:rFonts w:ascii="Times New Roman" w:hAnsi="Times New Roman" w:eastAsia="黑体"/>
          <w:b w:val="0"/>
          <w:color w:val="000000"/>
          <w:sz w:val="30"/>
          <w:szCs w:val="32"/>
        </w:rPr>
      </w:pPr>
      <w:bookmarkStart w:id="336" w:name="_Toc351203599"/>
      <w:bookmarkStart w:id="337" w:name="_Toc337558816"/>
      <w:bookmarkStart w:id="338" w:name="_Toc296503114"/>
      <w:bookmarkStart w:id="339" w:name="_Toc296346615"/>
      <w:r>
        <w:rPr>
          <w:rFonts w:ascii="Times New Roman" w:hAnsi="Times New Roman" w:eastAsia="黑体"/>
          <w:b w:val="0"/>
          <w:color w:val="000000"/>
          <w:sz w:val="30"/>
          <w:szCs w:val="32"/>
        </w:rPr>
        <w:t>15.1 工程保修的原则</w:t>
      </w:r>
      <w:bookmarkEnd w:id="336"/>
    </w:p>
    <w:bookmarkEnd w:id="337"/>
    <w:p w14:paraId="7E9684B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在工程移交发包人后，因承包人原因产生的质量缺陷，承包人应承担质量缺陷责任和保修义务。缺陷责任期届满，承包人仍应按合同约定的工程各部位保修年限承担保修义务。</w:t>
      </w:r>
    </w:p>
    <w:p w14:paraId="4CB8B4EE">
      <w:pPr>
        <w:pStyle w:val="6"/>
        <w:spacing w:before="120" w:after="120" w:line="360" w:lineRule="auto"/>
        <w:ind w:firstLine="600" w:firstLineChars="200"/>
        <w:rPr>
          <w:rFonts w:ascii="Times New Roman" w:hAnsi="Times New Roman" w:eastAsia="黑体"/>
          <w:b w:val="0"/>
          <w:color w:val="000000"/>
          <w:sz w:val="30"/>
          <w:szCs w:val="32"/>
        </w:rPr>
      </w:pPr>
      <w:bookmarkStart w:id="340" w:name="_Toc351203600"/>
      <w:bookmarkStart w:id="341" w:name="_Toc337558817"/>
      <w:r>
        <w:rPr>
          <w:rFonts w:ascii="Times New Roman" w:hAnsi="Times New Roman" w:eastAsia="黑体"/>
          <w:b w:val="0"/>
          <w:color w:val="000000"/>
          <w:sz w:val="30"/>
          <w:szCs w:val="32"/>
        </w:rPr>
        <w:t>15.2 缺陷责任期</w:t>
      </w:r>
      <w:bookmarkEnd w:id="338"/>
      <w:bookmarkEnd w:id="339"/>
      <w:bookmarkEnd w:id="340"/>
    </w:p>
    <w:bookmarkEnd w:id="341"/>
    <w:p w14:paraId="4FFF4B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15.2.1 缺陷责任期</w:t>
      </w:r>
      <w:r>
        <w:rPr>
          <w:rFonts w:hint="eastAsia" w:eastAsia="仿宋_GB2312"/>
          <w:color w:val="000000"/>
          <w:kern w:val="0"/>
          <w:sz w:val="30"/>
          <w:szCs w:val="32"/>
        </w:rPr>
        <w:t>从工程通过竣工验收之日</w:t>
      </w:r>
      <w:r>
        <w:rPr>
          <w:rFonts w:ascii="Times New Roman" w:hAnsi="Times New Roman" w:eastAsia="仿宋_GB2312"/>
          <w:color w:val="000000"/>
          <w:kern w:val="0"/>
          <w:sz w:val="30"/>
          <w:szCs w:val="32"/>
        </w:rPr>
        <w:t>起计算，合同当事人应在专用合同条款约定缺陷责任期的具体期限，但该期限最长不超过24个月。</w:t>
      </w:r>
    </w:p>
    <w:p w14:paraId="7C4549D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单位工程先于全部工程进行验收，经验收合格并交付使用的，该单位工程缺陷责任期自单位工程验收合格之日起算。</w:t>
      </w:r>
      <w:r>
        <w:rPr>
          <w:rFonts w:hint="eastAsia" w:eastAsia="仿宋_GB2312"/>
          <w:color w:val="000000"/>
          <w:kern w:val="0"/>
          <w:sz w:val="30"/>
          <w:szCs w:val="32"/>
        </w:rPr>
        <w:t>因承包人原因导致工程无法按合同约定期限进行竣工验收的，缺陷责任期从实际通过竣工验收之日起计算。</w:t>
      </w:r>
      <w:r>
        <w:rPr>
          <w:rFonts w:ascii="Times New Roman" w:hAnsi="Times New Roman" w:eastAsia="仿宋_GB2312"/>
          <w:color w:val="000000"/>
          <w:kern w:val="0"/>
          <w:sz w:val="30"/>
          <w:szCs w:val="32"/>
        </w:rPr>
        <w:t>因发包人原因导致工程无法按合同约定期限进行竣工验收的，</w:t>
      </w:r>
      <w:r>
        <w:rPr>
          <w:rFonts w:hint="eastAsia" w:eastAsia="仿宋_GB2312"/>
          <w:color w:val="000000"/>
          <w:kern w:val="0"/>
          <w:sz w:val="30"/>
          <w:szCs w:val="32"/>
        </w:rPr>
        <w:t>在承包人提交竣工验收报告90天后，工程自动进入缺陷责任期</w:t>
      </w:r>
      <w:r>
        <w:rPr>
          <w:rFonts w:ascii="Times New Roman" w:hAnsi="Times New Roman" w:eastAsia="仿宋_GB2312"/>
          <w:color w:val="000000"/>
          <w:kern w:val="0"/>
          <w:sz w:val="30"/>
          <w:szCs w:val="32"/>
        </w:rPr>
        <w:t>；发包人未经竣工验收擅自使用工程的，缺陷责任期自工程转移占有之日起开始计算。</w:t>
      </w:r>
    </w:p>
    <w:p w14:paraId="7DCB8486">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15.2.2</w:t>
      </w:r>
      <w:r>
        <w:rPr>
          <w:rFonts w:hint="eastAsia" w:eastAsia="仿宋_GB2312"/>
          <w:color w:val="000000"/>
          <w:kern w:val="0"/>
          <w:sz w:val="30"/>
          <w:szCs w:val="32"/>
        </w:rPr>
        <w:t>缺陷责任期内，由承包人原因造成的缺陷，承包人应负责维修，并承担鉴定及维修费用。如承包人不维修也不承担费用，发包人可按合同约定从保证金或银行保函中扣除，费用超出保证金额的，发包人可按合同约定向承包人进行索赔。承包人维修并承担相应费用后，不免除对工程的损失赔偿责任。</w:t>
      </w:r>
      <w:r>
        <w:rPr>
          <w:rFonts w:ascii="Times New Roman" w:hAnsi="Times New Roman" w:eastAsia="仿宋_GB2312"/>
          <w:color w:val="000000"/>
          <w:kern w:val="0"/>
          <w:sz w:val="30"/>
          <w:szCs w:val="32"/>
        </w:rPr>
        <w:t>发包人有权要求承</w:t>
      </w:r>
      <w:r>
        <w:rPr>
          <w:rFonts w:ascii="Times New Roman" w:hAnsi="Times New Roman" w:eastAsia="仿宋_GB2312"/>
          <w:bCs/>
          <w:color w:val="000000"/>
          <w:sz w:val="30"/>
          <w:szCs w:val="32"/>
        </w:rPr>
        <w:t>包人延长缺陷责任期，</w:t>
      </w:r>
      <w:r>
        <w:rPr>
          <w:rFonts w:ascii="Times New Roman" w:hAnsi="Times New Roman" w:eastAsia="仿宋_GB2312"/>
          <w:color w:val="000000"/>
          <w:kern w:val="0"/>
          <w:sz w:val="30"/>
          <w:szCs w:val="32"/>
        </w:rPr>
        <w:t>并应在原缺陷责任期届满前发出延长通知</w:t>
      </w:r>
      <w:r>
        <w:rPr>
          <w:rFonts w:hint="eastAsia" w:ascii="Times New Roman" w:hAnsi="Times New Roman" w:eastAsia="仿宋_GB2312"/>
          <w:color w:val="000000"/>
          <w:kern w:val="0"/>
          <w:sz w:val="30"/>
          <w:szCs w:val="32"/>
          <w:lang w:eastAsia="zh-CN"/>
        </w:rPr>
        <w:t>。</w:t>
      </w:r>
      <w:r>
        <w:rPr>
          <w:rFonts w:ascii="Times New Roman" w:hAnsi="Times New Roman" w:eastAsia="仿宋_GB2312"/>
          <w:bCs/>
          <w:color w:val="000000"/>
          <w:sz w:val="30"/>
          <w:szCs w:val="32"/>
        </w:rPr>
        <w:t>但缺陷责任期</w:t>
      </w:r>
      <w:r>
        <w:rPr>
          <w:rFonts w:hint="eastAsia" w:ascii="Times New Roman" w:hAnsi="Times New Roman" w:eastAsia="仿宋_GB2312"/>
          <w:bCs/>
          <w:color w:val="000000"/>
          <w:sz w:val="30"/>
          <w:szCs w:val="32"/>
          <w:lang w:eastAsia="zh-CN"/>
        </w:rPr>
        <w:t>（含延长部分）</w:t>
      </w:r>
      <w:r>
        <w:rPr>
          <w:rFonts w:ascii="Times New Roman" w:hAnsi="Times New Roman" w:eastAsia="仿宋_GB2312"/>
          <w:bCs/>
          <w:color w:val="000000"/>
          <w:sz w:val="30"/>
          <w:szCs w:val="32"/>
        </w:rPr>
        <w:t>最长</w:t>
      </w:r>
      <w:r>
        <w:rPr>
          <w:rFonts w:ascii="Times New Roman" w:hAnsi="Times New Roman" w:eastAsia="仿宋_GB2312"/>
          <w:color w:val="000000"/>
          <w:kern w:val="0"/>
          <w:sz w:val="30"/>
          <w:szCs w:val="32"/>
        </w:rPr>
        <w:t>不能超过24个月。</w:t>
      </w:r>
    </w:p>
    <w:p w14:paraId="174A3C9F">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由他人原因造成的缺陷，发包人负责组织维修，承包人不承担费用，且发包人不得从保证金中扣除费用。</w:t>
      </w:r>
    </w:p>
    <w:p w14:paraId="370EDE9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15.2.3 任何一项缺陷或损坏修复后，经检查证明其影响了工程或工程设备的使用性能，承包人应重新进行合同约定的试验和试运行，试验和试运行的全部费用应由责任方承担。</w:t>
      </w:r>
    </w:p>
    <w:p w14:paraId="4B97ED83">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15.2.4</w:t>
      </w:r>
      <w:r>
        <w:rPr>
          <w:rFonts w:hint="eastAsia" w:ascii="Times New Roman" w:hAnsi="Times New Roman" w:eastAsia="仿宋_GB2312"/>
          <w:color w:val="000000"/>
          <w:kern w:val="0"/>
          <w:sz w:val="30"/>
          <w:szCs w:val="32"/>
        </w:rPr>
        <w:t xml:space="preserve"> </w:t>
      </w:r>
      <w:r>
        <w:rPr>
          <w:rFonts w:ascii="Times New Roman" w:hAnsi="Times New Roman" w:eastAsia="仿宋_GB2312"/>
          <w:color w:val="000000"/>
          <w:kern w:val="0"/>
          <w:sz w:val="30"/>
          <w:szCs w:val="32"/>
        </w:rPr>
        <w:t>除专用合同条款另有约定外，承包人应于缺陷责任期届满后7天内向发包人发出缺陷责任期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满通知，发包人应在</w:t>
      </w:r>
      <w:r>
        <w:rPr>
          <w:rFonts w:hint="eastAsia" w:ascii="Times New Roman" w:hAnsi="Times New Roman" w:eastAsia="仿宋_GB2312"/>
          <w:color w:val="000000"/>
          <w:kern w:val="0"/>
          <w:sz w:val="30"/>
          <w:szCs w:val="32"/>
        </w:rPr>
        <w:t>收</w:t>
      </w:r>
      <w:r>
        <w:rPr>
          <w:rFonts w:ascii="Times New Roman" w:hAnsi="Times New Roman" w:eastAsia="仿宋_GB2312"/>
          <w:color w:val="000000"/>
          <w:kern w:val="0"/>
          <w:sz w:val="30"/>
          <w:szCs w:val="32"/>
        </w:rPr>
        <w:t>到缺陷责任期满通知后14天内核实承包人是否履行缺陷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义务，承包人未能履行缺陷</w:t>
      </w:r>
      <w:r>
        <w:rPr>
          <w:rFonts w:hint="eastAsia" w:ascii="Times New Roman" w:hAnsi="Times New Roman" w:eastAsia="仿宋_GB2312"/>
          <w:color w:val="000000"/>
          <w:kern w:val="0"/>
          <w:sz w:val="30"/>
          <w:szCs w:val="32"/>
        </w:rPr>
        <w:t>修复</w:t>
      </w:r>
      <w:r>
        <w:rPr>
          <w:rFonts w:ascii="Times New Roman" w:hAnsi="Times New Roman" w:eastAsia="仿宋_GB2312"/>
          <w:color w:val="000000"/>
          <w:kern w:val="0"/>
          <w:sz w:val="30"/>
          <w:szCs w:val="32"/>
        </w:rPr>
        <w:t>义务的，发包人有权扣除相应金额的维修费用。发包人应在</w:t>
      </w:r>
      <w:r>
        <w:rPr>
          <w:rFonts w:hint="eastAsia" w:ascii="Times New Roman" w:hAnsi="Times New Roman" w:eastAsia="仿宋_GB2312"/>
          <w:color w:val="000000"/>
          <w:kern w:val="0"/>
          <w:sz w:val="30"/>
          <w:szCs w:val="32"/>
        </w:rPr>
        <w:t>收到</w:t>
      </w:r>
      <w:r>
        <w:rPr>
          <w:rFonts w:ascii="Times New Roman" w:hAnsi="Times New Roman" w:eastAsia="仿宋_GB2312"/>
          <w:color w:val="000000"/>
          <w:kern w:val="0"/>
          <w:sz w:val="30"/>
          <w:szCs w:val="32"/>
        </w:rPr>
        <w:t>缺陷责任期</w:t>
      </w:r>
      <w:r>
        <w:rPr>
          <w:rFonts w:hint="eastAsia" w:ascii="Times New Roman" w:hAnsi="Times New Roman" w:eastAsia="仿宋_GB2312"/>
          <w:color w:val="000000"/>
          <w:kern w:val="0"/>
          <w:sz w:val="30"/>
          <w:szCs w:val="32"/>
        </w:rPr>
        <w:t>届</w:t>
      </w:r>
      <w:r>
        <w:rPr>
          <w:rFonts w:ascii="Times New Roman" w:hAnsi="Times New Roman" w:eastAsia="仿宋_GB2312"/>
          <w:color w:val="000000"/>
          <w:kern w:val="0"/>
          <w:sz w:val="30"/>
          <w:szCs w:val="32"/>
        </w:rPr>
        <w:t>满</w:t>
      </w:r>
      <w:r>
        <w:rPr>
          <w:rFonts w:hint="eastAsia" w:ascii="Times New Roman" w:hAnsi="Times New Roman" w:eastAsia="仿宋_GB2312"/>
          <w:color w:val="000000"/>
          <w:kern w:val="0"/>
          <w:sz w:val="30"/>
          <w:szCs w:val="32"/>
        </w:rPr>
        <w:t>通知后</w:t>
      </w:r>
      <w:r>
        <w:rPr>
          <w:rFonts w:ascii="Times New Roman" w:hAnsi="Times New Roman" w:eastAsia="仿宋_GB2312"/>
          <w:color w:val="000000"/>
          <w:kern w:val="0"/>
          <w:sz w:val="30"/>
          <w:szCs w:val="32"/>
        </w:rPr>
        <w:t>14天内，向承包人颁发缺陷责任期终止证</w:t>
      </w:r>
      <w:r>
        <w:rPr>
          <w:rFonts w:hint="eastAsia" w:ascii="Times New Roman" w:hAnsi="Times New Roman" w:eastAsia="仿宋_GB2312"/>
          <w:color w:val="000000"/>
          <w:kern w:val="0"/>
          <w:sz w:val="30"/>
          <w:szCs w:val="32"/>
        </w:rPr>
        <w:t>书</w:t>
      </w:r>
      <w:r>
        <w:rPr>
          <w:rFonts w:ascii="Times New Roman" w:hAnsi="Times New Roman" w:eastAsia="仿宋_GB2312"/>
          <w:color w:val="000000"/>
          <w:kern w:val="0"/>
          <w:sz w:val="30"/>
          <w:szCs w:val="32"/>
        </w:rPr>
        <w:t>。</w:t>
      </w:r>
    </w:p>
    <w:p w14:paraId="0A8552EA">
      <w:pPr>
        <w:pStyle w:val="6"/>
        <w:spacing w:before="120" w:after="120" w:line="360" w:lineRule="auto"/>
        <w:ind w:firstLine="600" w:firstLineChars="200"/>
        <w:rPr>
          <w:rFonts w:ascii="Times New Roman" w:hAnsi="Times New Roman" w:eastAsia="黑体"/>
          <w:b w:val="0"/>
          <w:color w:val="000000"/>
          <w:sz w:val="30"/>
          <w:szCs w:val="32"/>
        </w:rPr>
      </w:pPr>
      <w:bookmarkStart w:id="342" w:name="_Toc351203601"/>
      <w:bookmarkStart w:id="343" w:name="_Toc337558818"/>
      <w:bookmarkStart w:id="344" w:name="_Toc296503115"/>
      <w:bookmarkStart w:id="345" w:name="_Toc296346616"/>
      <w:r>
        <w:rPr>
          <w:rFonts w:ascii="Times New Roman" w:hAnsi="Times New Roman" w:eastAsia="黑体"/>
          <w:b w:val="0"/>
          <w:color w:val="000000"/>
          <w:sz w:val="30"/>
          <w:szCs w:val="32"/>
        </w:rPr>
        <w:t>15.3 质量保证金</w:t>
      </w:r>
      <w:bookmarkEnd w:id="342"/>
    </w:p>
    <w:bookmarkEnd w:id="343"/>
    <w:p w14:paraId="45D407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经合同当事人协商一致扣留质量保证金的，应在专用合同条款中予以明确。</w:t>
      </w:r>
    </w:p>
    <w:p w14:paraId="45802624">
      <w:pPr>
        <w:spacing w:line="360" w:lineRule="auto"/>
        <w:ind w:firstLine="600" w:firstLineChars="200"/>
        <w:jc w:val="left"/>
        <w:rPr>
          <w:rFonts w:eastAsia="仿宋_GB2312"/>
          <w:color w:val="000000"/>
          <w:sz w:val="30"/>
          <w:szCs w:val="32"/>
        </w:rPr>
      </w:pPr>
      <w:r>
        <w:rPr>
          <w:rFonts w:hint="eastAsia" w:eastAsia="仿宋_GB2312"/>
          <w:color w:val="000000"/>
          <w:sz w:val="30"/>
          <w:szCs w:val="32"/>
        </w:rPr>
        <w:t>在工程项目竣工前，承包人已经提供履约担保的，发包人不得同时预留工程质量保证金。</w:t>
      </w:r>
    </w:p>
    <w:p w14:paraId="1280CDCC">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p>
    <w:p w14:paraId="192E253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15.3.1 </w:t>
      </w: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质量保证金的</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746E70D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承包人提供</w:t>
      </w: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三种方</w:t>
      </w:r>
      <w:r>
        <w:rPr>
          <w:rFonts w:ascii="Times New Roman" w:hAnsi="Times New Roman" w:eastAsia="仿宋_GB2312"/>
          <w:color w:val="000000"/>
          <w:kern w:val="0"/>
          <w:sz w:val="30"/>
          <w:szCs w:val="32"/>
        </w:rPr>
        <w:t>式：</w:t>
      </w:r>
    </w:p>
    <w:p w14:paraId="731F0ED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（1）质量保证金保函； </w:t>
      </w:r>
    </w:p>
    <w:p w14:paraId="75DFC92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2）相应比例的工程款；</w:t>
      </w:r>
    </w:p>
    <w:p w14:paraId="4C4122A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p>
    <w:p w14:paraId="36E655F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w:t>
      </w:r>
      <w:r>
        <w:rPr>
          <w:rFonts w:hint="eastAsia" w:ascii="Times New Roman" w:hAnsi="Times New Roman" w:eastAsia="仿宋_GB2312"/>
          <w:color w:val="000000"/>
          <w:kern w:val="0"/>
          <w:sz w:val="30"/>
          <w:szCs w:val="32"/>
        </w:rPr>
        <w:t>方式。</w:t>
      </w:r>
    </w:p>
    <w:p w14:paraId="680D37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15.3.2 质量保证金的扣留</w:t>
      </w:r>
    </w:p>
    <w:p w14:paraId="0D8EE9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有</w:t>
      </w:r>
      <w:r>
        <w:rPr>
          <w:rFonts w:ascii="Times New Roman" w:hAnsi="Times New Roman" w:eastAsia="仿宋_GB2312"/>
          <w:color w:val="000000"/>
          <w:kern w:val="0"/>
          <w:sz w:val="30"/>
          <w:szCs w:val="32"/>
        </w:rPr>
        <w:t>以下</w:t>
      </w:r>
      <w:r>
        <w:rPr>
          <w:rFonts w:hint="eastAsia" w:ascii="Times New Roman" w:hAnsi="Times New Roman" w:eastAsia="仿宋_GB2312"/>
          <w:color w:val="000000"/>
          <w:kern w:val="0"/>
          <w:sz w:val="30"/>
          <w:szCs w:val="32"/>
        </w:rPr>
        <w:t>三</w:t>
      </w:r>
      <w:r>
        <w:rPr>
          <w:rFonts w:ascii="Times New Roman" w:hAnsi="Times New Roman" w:eastAsia="仿宋_GB2312"/>
          <w:color w:val="000000"/>
          <w:kern w:val="0"/>
          <w:sz w:val="30"/>
          <w:szCs w:val="32"/>
        </w:rPr>
        <w:t>种</w:t>
      </w:r>
      <w:r>
        <w:rPr>
          <w:rFonts w:hint="eastAsia" w:ascii="Times New Roman" w:hAnsi="Times New Roman" w:eastAsia="仿宋_GB2312"/>
          <w:color w:val="000000"/>
          <w:kern w:val="0"/>
          <w:sz w:val="30"/>
          <w:szCs w:val="32"/>
        </w:rPr>
        <w:t>方式</w:t>
      </w:r>
      <w:r>
        <w:rPr>
          <w:rFonts w:ascii="Times New Roman" w:hAnsi="Times New Roman" w:eastAsia="仿宋_GB2312"/>
          <w:color w:val="000000"/>
          <w:kern w:val="0"/>
          <w:sz w:val="30"/>
          <w:szCs w:val="32"/>
        </w:rPr>
        <w:t>：</w:t>
      </w:r>
    </w:p>
    <w:p w14:paraId="6AB765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39F67C2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w:t>
      </w:r>
      <w:bookmarkStart w:id="346" w:name="#go6"/>
      <w:bookmarkEnd w:id="346"/>
      <w:r>
        <w:rPr>
          <w:rFonts w:ascii="Times New Roman" w:hAnsi="Times New Roman" w:eastAsia="仿宋_GB2312"/>
          <w:color w:val="000000"/>
          <w:kern w:val="0"/>
          <w:sz w:val="30"/>
          <w:szCs w:val="32"/>
        </w:rPr>
        <w:t>程竣工结算时一次性扣留质量保证金；</w:t>
      </w:r>
    </w:p>
    <w:p w14:paraId="182F67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（3）双方约定的其他扣留方式。</w:t>
      </w:r>
    </w:p>
    <w:p w14:paraId="651454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除专用合同条款另有约定外，质量保证金</w:t>
      </w:r>
      <w:r>
        <w:rPr>
          <w:rFonts w:hint="eastAsia" w:ascii="Times New Roman" w:hAnsi="Times New Roman" w:eastAsia="仿宋_GB2312"/>
          <w:color w:val="000000"/>
          <w:kern w:val="0"/>
          <w:sz w:val="30"/>
          <w:szCs w:val="32"/>
        </w:rPr>
        <w:t>的</w:t>
      </w:r>
      <w:r>
        <w:rPr>
          <w:rFonts w:ascii="Times New Roman" w:hAnsi="Times New Roman" w:eastAsia="仿宋_GB2312"/>
          <w:color w:val="000000"/>
          <w:kern w:val="0"/>
          <w:sz w:val="30"/>
          <w:szCs w:val="32"/>
        </w:rPr>
        <w:t>扣留</w:t>
      </w:r>
      <w:r>
        <w:rPr>
          <w:rFonts w:hint="eastAsia" w:ascii="Times New Roman" w:hAnsi="Times New Roman" w:eastAsia="仿宋_GB2312"/>
          <w:color w:val="000000"/>
          <w:kern w:val="0"/>
          <w:sz w:val="30"/>
          <w:szCs w:val="32"/>
        </w:rPr>
        <w:t>原则上</w:t>
      </w:r>
      <w:r>
        <w:rPr>
          <w:rFonts w:ascii="Times New Roman" w:hAnsi="Times New Roman" w:eastAsia="仿宋_GB2312"/>
          <w:color w:val="000000"/>
          <w:kern w:val="0"/>
          <w:sz w:val="30"/>
          <w:szCs w:val="32"/>
        </w:rPr>
        <w:t>采</w:t>
      </w:r>
      <w:r>
        <w:rPr>
          <w:rFonts w:hint="eastAsia" w:ascii="Times New Roman" w:hAnsi="Times New Roman" w:eastAsia="仿宋_GB2312"/>
          <w:color w:val="000000"/>
          <w:kern w:val="0"/>
          <w:sz w:val="30"/>
          <w:szCs w:val="32"/>
        </w:rPr>
        <w:t>用上述</w:t>
      </w:r>
      <w:r>
        <w:rPr>
          <w:rFonts w:ascii="Times New Roman" w:hAnsi="Times New Roman" w:eastAsia="仿宋_GB2312"/>
          <w:color w:val="000000"/>
          <w:kern w:val="0"/>
          <w:sz w:val="30"/>
          <w:szCs w:val="32"/>
        </w:rPr>
        <w:t>第（1）种方式</w:t>
      </w:r>
      <w:r>
        <w:rPr>
          <w:rFonts w:hint="eastAsia" w:ascii="Times New Roman" w:hAnsi="Times New Roman" w:eastAsia="仿宋_GB2312"/>
          <w:color w:val="000000"/>
          <w:kern w:val="0"/>
          <w:sz w:val="30"/>
          <w:szCs w:val="32"/>
        </w:rPr>
        <w:t>。</w:t>
      </w:r>
    </w:p>
    <w:p w14:paraId="2C97F04D">
      <w:pPr>
        <w:autoSpaceDE w:val="0"/>
        <w:autoSpaceDN w:val="0"/>
        <w:adjustRightInd w:val="0"/>
        <w:spacing w:line="360" w:lineRule="auto"/>
        <w:ind w:firstLine="600" w:firstLineChars="200"/>
        <w:jc w:val="left"/>
        <w:rPr>
          <w:rFonts w:eastAsia="仿宋_GB2312"/>
          <w:color w:val="000000"/>
          <w:kern w:val="0"/>
          <w:sz w:val="30"/>
          <w:szCs w:val="32"/>
        </w:rPr>
      </w:pPr>
      <w:r>
        <w:rPr>
          <w:rFonts w:ascii="Times New Roman" w:hAnsi="Times New Roman" w:eastAsia="仿宋_GB2312"/>
          <w:color w:val="000000"/>
          <w:kern w:val="0"/>
          <w:sz w:val="30"/>
          <w:szCs w:val="32"/>
        </w:rPr>
        <w:t>发</w:t>
      </w:r>
      <w:bookmarkStart w:id="347" w:name="#go4"/>
      <w:bookmarkEnd w:id="347"/>
      <w:r>
        <w:rPr>
          <w:rFonts w:ascii="Times New Roman" w:hAnsi="Times New Roman" w:eastAsia="仿宋_GB2312"/>
          <w:color w:val="000000"/>
          <w:kern w:val="0"/>
          <w:sz w:val="30"/>
          <w:szCs w:val="32"/>
        </w:rPr>
        <w:t>包人累计扣留的质量保证金不得超过</w:t>
      </w:r>
      <w:r>
        <w:rPr>
          <w:rFonts w:hint="eastAsia" w:ascii="Times New Roman" w:hAnsi="Times New Roman" w:eastAsia="仿宋_GB2312"/>
          <w:color w:val="000000"/>
          <w:kern w:val="0"/>
          <w:sz w:val="30"/>
          <w:szCs w:val="32"/>
        </w:rPr>
        <w:t>工程价款结算总额</w:t>
      </w:r>
      <w:r>
        <w:rPr>
          <w:rFonts w:ascii="Times New Roman" w:hAnsi="Times New Roman" w:eastAsia="仿宋_GB2312"/>
          <w:color w:val="000000"/>
          <w:kern w:val="0"/>
          <w:sz w:val="30"/>
          <w:szCs w:val="32"/>
        </w:rPr>
        <w:t>的3%</w:t>
      </w:r>
      <w:r>
        <w:rPr>
          <w:rFonts w:hint="eastAsia" w:ascii="Times New Roman" w:hAnsi="Times New Roman" w:eastAsia="仿宋_GB2312"/>
          <w:color w:val="000000"/>
          <w:kern w:val="0"/>
          <w:sz w:val="30"/>
          <w:szCs w:val="32"/>
        </w:rPr>
        <w:t>。如</w:t>
      </w:r>
      <w:r>
        <w:rPr>
          <w:rFonts w:ascii="Times New Roman" w:hAnsi="Times New Roman" w:eastAsia="仿宋_GB2312"/>
          <w:color w:val="000000"/>
          <w:kern w:val="0"/>
          <w:sz w:val="30"/>
          <w:szCs w:val="32"/>
        </w:rPr>
        <w:t>承包人在发包人签发竣工付款证书后28天内提交质量保证金保函，发包人应同时退还扣留的作为质量保证金的工程价款</w:t>
      </w:r>
      <w:r>
        <w:rPr>
          <w:rFonts w:hint="eastAsia" w:eastAsia="仿宋_GB2312"/>
          <w:color w:val="000000"/>
          <w:kern w:val="0"/>
          <w:sz w:val="30"/>
          <w:szCs w:val="32"/>
        </w:rPr>
        <w:t>；保函金额不得超过工程价款结算总额的3%</w:t>
      </w:r>
      <w:r>
        <w:rPr>
          <w:rFonts w:eastAsia="仿宋_GB2312"/>
          <w:color w:val="000000"/>
          <w:kern w:val="0"/>
          <w:sz w:val="30"/>
          <w:szCs w:val="32"/>
        </w:rPr>
        <w:t>。</w:t>
      </w:r>
    </w:p>
    <w:p w14:paraId="7ACB9232">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发包人在退还质量保证金的同时</w:t>
      </w:r>
      <w:r>
        <w:rPr>
          <w:rFonts w:eastAsia="仿宋_GB2312"/>
          <w:color w:val="000000"/>
          <w:kern w:val="0"/>
          <w:sz w:val="30"/>
          <w:szCs w:val="32"/>
        </w:rPr>
        <w:t>按照中国人民银行发布的同期同类贷款基准利率支付</w:t>
      </w:r>
      <w:r>
        <w:rPr>
          <w:rFonts w:hint="eastAsia" w:eastAsia="仿宋_GB2312"/>
          <w:color w:val="000000"/>
          <w:kern w:val="0"/>
          <w:sz w:val="30"/>
          <w:szCs w:val="32"/>
        </w:rPr>
        <w:t>利息。</w:t>
      </w:r>
    </w:p>
    <w:p w14:paraId="31CA0E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15.3.3 </w:t>
      </w:r>
      <w:r>
        <w:rPr>
          <w:rFonts w:ascii="Times New Roman" w:hAnsi="Times New Roman" w:eastAsia="仿宋_GB2312"/>
          <w:color w:val="000000"/>
          <w:sz w:val="30"/>
          <w:szCs w:val="32"/>
        </w:rPr>
        <w:t>质量保证金</w:t>
      </w:r>
      <w:r>
        <w:rPr>
          <w:rFonts w:ascii="Times New Roman" w:hAnsi="Times New Roman" w:eastAsia="仿宋_GB2312"/>
          <w:color w:val="000000"/>
          <w:kern w:val="0"/>
          <w:sz w:val="30"/>
          <w:szCs w:val="32"/>
        </w:rPr>
        <w:t>的退还</w:t>
      </w:r>
    </w:p>
    <w:p w14:paraId="64906F1C">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缺陷责任期内，承包人认真履行合同约定的责任，到期后，承包人可向发包人申请返还保证金。</w:t>
      </w:r>
    </w:p>
    <w:p w14:paraId="5A8C504D">
      <w:pPr>
        <w:autoSpaceDE w:val="0"/>
        <w:autoSpaceDN w:val="0"/>
        <w:adjustRightInd w:val="0"/>
        <w:spacing w:line="360" w:lineRule="auto"/>
        <w:ind w:firstLine="600" w:firstLineChars="200"/>
        <w:jc w:val="left"/>
        <w:rPr>
          <w:rFonts w:eastAsia="仿宋_GB2312"/>
          <w:color w:val="000000"/>
          <w:kern w:val="0"/>
          <w:sz w:val="30"/>
          <w:szCs w:val="32"/>
        </w:rPr>
      </w:pPr>
      <w:r>
        <w:rPr>
          <w:rFonts w:hint="eastAsia" w:eastAsia="仿宋_GB2312"/>
          <w:color w:val="000000"/>
          <w:kern w:val="0"/>
          <w:sz w:val="30"/>
          <w:szCs w:val="32"/>
        </w:rPr>
        <w:t>发包人在接到承包人返还保证金申请后，应于14天内会同承包人按照合同约定的内容进行核实。如无异议，发包人应当按照约定将保证金返还给承包人。对返还期限没有约定或者约定不明确的，发包人应当在核实后14天内将保证金返还承包人，逾期未返还的，依法承担违约责任。发包人在接到承包人返还保证金申请后14天内不予答复，经催告后14天内仍不予答复，视同认可承包人的返还保证金申请。</w:t>
      </w:r>
    </w:p>
    <w:p w14:paraId="45A06A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eastAsia="仿宋_GB2312"/>
          <w:color w:val="000000"/>
          <w:kern w:val="0"/>
          <w:sz w:val="30"/>
          <w:szCs w:val="32"/>
        </w:rPr>
        <w:t>发包人和承包人对保证金预留、返还以及工程维修质量、费用有争议的，按本合同第20条约定的争议和纠纷解决程序处理</w:t>
      </w:r>
      <w:r>
        <w:rPr>
          <w:rFonts w:ascii="Times New Roman" w:hAnsi="Times New Roman" w:eastAsia="仿宋_GB2312"/>
          <w:color w:val="000000"/>
          <w:kern w:val="0"/>
          <w:sz w:val="30"/>
          <w:szCs w:val="32"/>
        </w:rPr>
        <w:t>。</w:t>
      </w:r>
    </w:p>
    <w:p w14:paraId="2D9AC7E9">
      <w:pPr>
        <w:pStyle w:val="6"/>
        <w:spacing w:before="120" w:after="120" w:line="360" w:lineRule="auto"/>
        <w:ind w:firstLine="600" w:firstLineChars="200"/>
        <w:rPr>
          <w:rFonts w:ascii="Times New Roman" w:hAnsi="Times New Roman" w:eastAsia="黑体"/>
          <w:b w:val="0"/>
          <w:color w:val="000000"/>
          <w:sz w:val="30"/>
          <w:szCs w:val="32"/>
        </w:rPr>
      </w:pPr>
      <w:bookmarkStart w:id="348" w:name="_Toc351203602"/>
      <w:bookmarkStart w:id="349" w:name="_Toc337558819"/>
      <w:r>
        <w:rPr>
          <w:rFonts w:ascii="Times New Roman" w:hAnsi="Times New Roman" w:eastAsia="黑体"/>
          <w:b w:val="0"/>
          <w:color w:val="000000"/>
          <w:sz w:val="30"/>
          <w:szCs w:val="32"/>
        </w:rPr>
        <w:t>15.4 保修</w:t>
      </w:r>
      <w:bookmarkEnd w:id="348"/>
    </w:p>
    <w:bookmarkEnd w:id="344"/>
    <w:bookmarkEnd w:id="345"/>
    <w:bookmarkEnd w:id="349"/>
    <w:p w14:paraId="26DDD2D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15.4.1保修责任</w:t>
      </w:r>
    </w:p>
    <w:p w14:paraId="046F9468">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工程保修期从工程竣工验收合格之日起算，具体分部分项工程的保修期由合同当事人在专用合同条款中约定，但不得低于法定最低保修年限。在工程保修期内，承包人应当根据有关法律规定以及合同约定承担保修责任。</w:t>
      </w:r>
    </w:p>
    <w:p w14:paraId="426FEF7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发包人未经竣工验收擅自使用工程的，保修期自</w:t>
      </w:r>
      <w:r>
        <w:rPr>
          <w:rFonts w:ascii="Times New Roman" w:hAnsi="Times New Roman" w:eastAsia="仿宋_GB2312"/>
          <w:color w:val="000000"/>
          <w:kern w:val="0"/>
          <w:sz w:val="30"/>
          <w:szCs w:val="32"/>
        </w:rPr>
        <w:t>转移占有之日起算</w:t>
      </w:r>
      <w:r>
        <w:rPr>
          <w:rFonts w:ascii="Times New Roman" w:hAnsi="Times New Roman" w:eastAsia="仿宋_GB2312"/>
          <w:color w:val="000000"/>
          <w:sz w:val="30"/>
          <w:szCs w:val="32"/>
        </w:rPr>
        <w:t>。</w:t>
      </w:r>
    </w:p>
    <w:p w14:paraId="3FEEE8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15.4.2 修复费用</w:t>
      </w:r>
    </w:p>
    <w:p w14:paraId="175CBE9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保修期内，修复的费用按照以下约定处理：</w:t>
      </w:r>
    </w:p>
    <w:p w14:paraId="1F7B54B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（1）保修期内，因承包人原因造成工程的缺陷、损坏，承包人应负责修复，并承担修复的费用以及因工程的缺陷、损坏造成的人身伤害和财产损失；</w:t>
      </w:r>
    </w:p>
    <w:p w14:paraId="3BD2495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（2）保修期内，因发包人使用不当造成工程的缺陷、损坏，可以委托承包人修复，但发包人应承担修复的费用，并支付承包人合理利润；</w:t>
      </w:r>
    </w:p>
    <w:p w14:paraId="49BADB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（3）因其他原因造成工程的缺陷、损坏，可以委托承包人修复，发包人应承担修复的费用，并支付承包人合理的利润，因工程的缺陷、损坏造成的人身伤害和财产损失由责任方承担。</w:t>
      </w:r>
    </w:p>
    <w:p w14:paraId="411925B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15.4.3 修复通知</w:t>
      </w:r>
    </w:p>
    <w:p w14:paraId="218DB290">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发包人在使用过程中，发现已接收的工程存在缺陷或损坏的，应书面通知承包人予以修复，但情况紧急必须立即修复缺陷或损坏的，发包人可以口头通知承包人并在口头通知后48小时内书面确认，承包人应在专用合同条款约定的合理期限内到达工程现场并修复缺陷或损坏。</w:t>
      </w:r>
    </w:p>
    <w:p w14:paraId="15A2E94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15.4.4 未能修复</w:t>
      </w:r>
    </w:p>
    <w:p w14:paraId="2350F2D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因承包人原因造成工程的缺陷或损坏，承包人拒绝维修或未能在合理期限内修复缺陷或损坏，且经发包人书面催告后仍未修复的，发包人有权自行修复或委托第三方修复，所需费用由承包人承担。</w:t>
      </w:r>
      <w:r>
        <w:rPr>
          <w:rFonts w:hint="eastAsia" w:ascii="Times New Roman" w:hAnsi="Times New Roman" w:eastAsia="仿宋_GB2312"/>
          <w:color w:val="000000"/>
          <w:kern w:val="0"/>
          <w:sz w:val="30"/>
          <w:szCs w:val="32"/>
        </w:rPr>
        <w:t>但修复范围超出缺陷或损坏范围的，超出范围部分的修复费用由发包人承担。</w:t>
      </w:r>
    </w:p>
    <w:p w14:paraId="2197BA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15.4.5 承包人出入权</w:t>
      </w:r>
    </w:p>
    <w:p w14:paraId="28709A3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保修期内，为了修复缺陷或损坏，承包人有权出入工程现场，除情况紧急必须立即修复缺陷或损坏外，承包人应提前24小时通知发包人进场修复的时间。承包人进入工程现场前应获得发包人同意，且不应影响发包人正常的生产经营，并应遵守发包人有关保安和保密等规定。</w:t>
      </w:r>
    </w:p>
    <w:p w14:paraId="696C9854">
      <w:pPr>
        <w:pStyle w:val="5"/>
        <w:spacing w:before="120" w:after="120" w:line="360" w:lineRule="auto"/>
        <w:rPr>
          <w:rFonts w:ascii="Times New Roman" w:hAnsi="Times New Roman" w:eastAsia="黑体"/>
          <w:b w:val="0"/>
          <w:color w:val="000000"/>
          <w:sz w:val="32"/>
          <w:szCs w:val="32"/>
        </w:rPr>
      </w:pPr>
      <w:bookmarkStart w:id="350" w:name="_Toc351203603"/>
      <w:bookmarkStart w:id="351" w:name="_Toc337558820"/>
      <w:r>
        <w:rPr>
          <w:rFonts w:ascii="Times New Roman" w:hAnsi="Times New Roman" w:eastAsia="黑体"/>
          <w:b w:val="0"/>
          <w:color w:val="000000"/>
          <w:sz w:val="32"/>
          <w:szCs w:val="32"/>
        </w:rPr>
        <w:t>16. 违约</w:t>
      </w:r>
      <w:bookmarkEnd w:id="350"/>
    </w:p>
    <w:bookmarkEnd w:id="351"/>
    <w:p w14:paraId="45AF952D">
      <w:pPr>
        <w:pStyle w:val="6"/>
        <w:spacing w:before="120" w:after="120" w:line="360" w:lineRule="auto"/>
        <w:ind w:firstLine="600" w:firstLineChars="200"/>
        <w:rPr>
          <w:rFonts w:ascii="Times New Roman" w:hAnsi="Times New Roman" w:eastAsia="黑体"/>
          <w:b w:val="0"/>
          <w:color w:val="000000"/>
          <w:sz w:val="30"/>
          <w:szCs w:val="32"/>
        </w:rPr>
      </w:pPr>
      <w:bookmarkStart w:id="352" w:name="_Toc296346630"/>
      <w:bookmarkStart w:id="353" w:name="_Toc296503129"/>
      <w:bookmarkStart w:id="354" w:name="_Toc351203604"/>
      <w:bookmarkStart w:id="355" w:name="_Toc337558821"/>
      <w:r>
        <w:rPr>
          <w:rFonts w:ascii="Times New Roman" w:hAnsi="Times New Roman" w:eastAsia="黑体"/>
          <w:b w:val="0"/>
          <w:color w:val="000000"/>
          <w:sz w:val="30"/>
          <w:szCs w:val="32"/>
        </w:rPr>
        <w:t>16.1 发</w:t>
      </w:r>
      <w:bookmarkEnd w:id="352"/>
      <w:bookmarkEnd w:id="353"/>
      <w:r>
        <w:rPr>
          <w:rFonts w:ascii="Times New Roman" w:hAnsi="Times New Roman" w:eastAsia="黑体"/>
          <w:b w:val="0"/>
          <w:color w:val="000000"/>
          <w:sz w:val="30"/>
          <w:szCs w:val="32"/>
        </w:rPr>
        <w:t>包人违约</w:t>
      </w:r>
      <w:bookmarkEnd w:id="354"/>
    </w:p>
    <w:bookmarkEnd w:id="355"/>
    <w:p w14:paraId="0890F7E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16.1.1 发包人违约的情形</w:t>
      </w:r>
    </w:p>
    <w:p w14:paraId="71BCA0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在合同履行过程中发生的下列情形，属于发包人违约：</w:t>
      </w:r>
    </w:p>
    <w:p w14:paraId="04BA5B1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（1）因发包人原因未能在计划开工日期前7天内下达开工通知的；</w:t>
      </w:r>
    </w:p>
    <w:p w14:paraId="57069D0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w:t>
      </w:r>
    </w:p>
    <w:p w14:paraId="383089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w:t>
      </w:r>
    </w:p>
    <w:p w14:paraId="07F6282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w:t>
      </w:r>
    </w:p>
    <w:p w14:paraId="6F638C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（5）因发包人违反合同约定造成暂停施工的；</w:t>
      </w:r>
    </w:p>
    <w:p w14:paraId="53C4EF7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w:t>
      </w:r>
    </w:p>
    <w:p w14:paraId="5057870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（7）发包人明确表示或者以其行为表明不履行合同主要义务的；</w:t>
      </w:r>
    </w:p>
    <w:p w14:paraId="3976548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（8）发包人未能按照合同约定履行其他义务的。</w:t>
      </w:r>
    </w:p>
    <w:p w14:paraId="0D203BE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发生除本项第（7）目以外的违约情况时，承包人可向发包人发出通知，要求发包人采取有效措施纠正违约行为。发包人收到承包人通知后28天内仍不纠正违约行为的，承包人有权暂停相应部位工程施工，并通知监理人。</w:t>
      </w:r>
    </w:p>
    <w:p w14:paraId="044608A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16.1.2 发包人违约的责任</w:t>
      </w:r>
    </w:p>
    <w:p w14:paraId="2F6273D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发包人应承担因其违约给承包人增加的费用和（或）延误的工期，并支付承包人合理的利润。此外，合同当事人可在专用合同条款中另行约定发包人违约责任的承担方式和计算方法。</w:t>
      </w:r>
    </w:p>
    <w:p w14:paraId="16CCFA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16.1.3 因发包人违约解除合同</w:t>
      </w:r>
    </w:p>
    <w:p w14:paraId="300B050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除专用合同条款另有约定外，承包人按第16.1.1项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约定暂停施工满28天后</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发包人仍不纠正其违约行为并致使合同目的不能实现的，</w:t>
      </w:r>
      <w:r>
        <w:rPr>
          <w:rFonts w:hint="eastAsia" w:ascii="Times New Roman" w:hAnsi="Times New Roman" w:eastAsia="仿宋_GB2312"/>
          <w:color w:val="000000"/>
          <w:kern w:val="0"/>
          <w:sz w:val="30"/>
          <w:szCs w:val="32"/>
        </w:rPr>
        <w:t>或</w:t>
      </w:r>
      <w:r>
        <w:rPr>
          <w:rFonts w:ascii="Times New Roman" w:hAnsi="Times New Roman" w:eastAsia="仿宋_GB2312"/>
          <w:color w:val="000000"/>
          <w:kern w:val="0"/>
          <w:sz w:val="30"/>
          <w:szCs w:val="32"/>
        </w:rPr>
        <w:t>出现第16.1.1项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第（7）目约定的违约情况，承包人有权解除合同，发包人应承担由此增加的费用，并支付承包人合理的利润。</w:t>
      </w:r>
    </w:p>
    <w:p w14:paraId="19DEFECE">
      <w:pPr>
        <w:autoSpaceDE w:val="0"/>
        <w:autoSpaceDN w:val="0"/>
        <w:adjustRightInd w:val="0"/>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16.1.4 因发包人违约解除合同后的付款</w:t>
      </w:r>
    </w:p>
    <w:p w14:paraId="76643F9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承包人按照本款约定解除合同的，发包人应在解除合同后28天内支付下列款项，并解除履约担保：</w:t>
      </w:r>
    </w:p>
    <w:p w14:paraId="1749923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（1）合同解除前所完成工作的价款；</w:t>
      </w:r>
    </w:p>
    <w:p w14:paraId="34C60219">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（2）承包人为工程施工订购并已付款的材料、工程设备和其他物品的价款；</w:t>
      </w:r>
    </w:p>
    <w:p w14:paraId="7E4824C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（3）承包人撤离施工现场以及遣散承包人人员的款项；</w:t>
      </w:r>
    </w:p>
    <w:p w14:paraId="176FC28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（4）按照合同约定在合同解除前应支付的违约金；</w:t>
      </w:r>
    </w:p>
    <w:p w14:paraId="0ADC58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（5）按照合同约定应当支付给承包人的其他款项；</w:t>
      </w:r>
    </w:p>
    <w:p w14:paraId="3935D29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（6）按照合同约定应退还的质量保证金；</w:t>
      </w:r>
    </w:p>
    <w:p w14:paraId="0AF668B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（7）因解除合同给承包人造成的损失。</w:t>
      </w:r>
    </w:p>
    <w:p w14:paraId="58589C5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合同当事人未能就解除合同后的结清达成一致的，按照第20条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51AB763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承包人应妥善做好已完工程和与工程有关的已购材料、工程设备的保护和移交工作，并将施工设备和人员撤出施工现场，发包人应为承包人撤出提供必要条件。</w:t>
      </w:r>
    </w:p>
    <w:p w14:paraId="123E4715">
      <w:pPr>
        <w:pStyle w:val="6"/>
        <w:spacing w:before="120" w:after="120" w:line="360" w:lineRule="auto"/>
        <w:ind w:firstLine="600" w:firstLineChars="200"/>
        <w:rPr>
          <w:rFonts w:ascii="Times New Roman" w:hAnsi="Times New Roman" w:eastAsia="黑体"/>
          <w:b w:val="0"/>
          <w:color w:val="000000"/>
          <w:sz w:val="30"/>
          <w:szCs w:val="32"/>
        </w:rPr>
      </w:pPr>
      <w:bookmarkStart w:id="356" w:name="_Toc351203605"/>
      <w:bookmarkStart w:id="357" w:name="_Toc296346632"/>
      <w:bookmarkStart w:id="358" w:name="_Toc296503131"/>
      <w:bookmarkStart w:id="359" w:name="_Toc337558822"/>
      <w:r>
        <w:rPr>
          <w:rFonts w:ascii="Times New Roman" w:hAnsi="Times New Roman" w:eastAsia="黑体"/>
          <w:b w:val="0"/>
          <w:color w:val="000000"/>
          <w:sz w:val="30"/>
          <w:szCs w:val="32"/>
        </w:rPr>
        <w:t>16.2 承包人违约</w:t>
      </w:r>
      <w:bookmarkEnd w:id="356"/>
    </w:p>
    <w:bookmarkEnd w:id="357"/>
    <w:bookmarkEnd w:id="358"/>
    <w:bookmarkEnd w:id="359"/>
    <w:p w14:paraId="5360453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4DBDCC1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在合同履行过程中发生的下列情形，属于承包人违约：</w:t>
      </w:r>
    </w:p>
    <w:p w14:paraId="0D1C42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（1）承包人违反合同约定进行转包或违法分包的；</w:t>
      </w:r>
    </w:p>
    <w:p w14:paraId="017A24A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（2）承包人违反合同约定采购和使用不合格的材料和工程设备的；</w:t>
      </w:r>
    </w:p>
    <w:p w14:paraId="7E76A02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（3）因承包人原因导致工程质量不符合合同要求的； </w:t>
      </w:r>
    </w:p>
    <w:p w14:paraId="74BD662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（4）承包人违反第8.9款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材料与设备专用</w:t>
      </w:r>
      <w:r>
        <w:rPr>
          <w:rFonts w:hint="eastAsia" w:ascii="Times New Roman" w:hAnsi="Times New Roman" w:eastAsia="仿宋_GB2312"/>
          <w:color w:val="000000"/>
          <w:kern w:val="0"/>
          <w:sz w:val="30"/>
          <w:szCs w:val="32"/>
        </w:rPr>
        <w:t>要求〕</w:t>
      </w:r>
      <w:r>
        <w:rPr>
          <w:rFonts w:ascii="Times New Roman" w:hAnsi="Times New Roman" w:eastAsia="仿宋_GB2312"/>
          <w:color w:val="000000"/>
          <w:kern w:val="0"/>
          <w:sz w:val="30"/>
          <w:szCs w:val="32"/>
        </w:rPr>
        <w:t>的约定，未经批准，私自将已按照合同约定进入施工现场的材料或设备撤离施工现场的；</w:t>
      </w:r>
    </w:p>
    <w:p w14:paraId="2DF48D3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（5）承包人未能按施工进度计划及时完成合同约定的工作，造成工期延误的；</w:t>
      </w:r>
    </w:p>
    <w:p w14:paraId="584FDD1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（6）承包人在缺陷责任期及保修期内，未能在合理期限对工程缺陷进行修复，或拒绝按发包人要求进行修复的；</w:t>
      </w:r>
    </w:p>
    <w:p w14:paraId="7FB82FB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（7）承包人明确表示或者以其行为表明不履行合同主要义务的；</w:t>
      </w:r>
    </w:p>
    <w:p w14:paraId="328E408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（8）承包人未能按照合同约定履行其他义务的。</w:t>
      </w:r>
    </w:p>
    <w:p w14:paraId="02938C7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承包人发生除本项第（7）目约定以外的其他违约情况时，监理人可向承包人发出整改通知，要求其在指定的期限内改正。</w:t>
      </w:r>
    </w:p>
    <w:p w14:paraId="7705F50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 承包人违约的责任</w:t>
      </w:r>
    </w:p>
    <w:p w14:paraId="205073E7">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承包人应承担因其违约行为而增加的费用</w:t>
      </w:r>
      <w:r>
        <w:rPr>
          <w:rFonts w:hint="eastAsia" w:ascii="Times New Roman" w:hAnsi="Times New Roman" w:eastAsia="仿宋_GB2312"/>
          <w:color w:val="000000"/>
          <w:kern w:val="0"/>
          <w:sz w:val="30"/>
          <w:szCs w:val="32"/>
        </w:rPr>
        <w:t>和（或）延误的</w:t>
      </w:r>
      <w:r>
        <w:rPr>
          <w:rFonts w:ascii="Times New Roman" w:hAnsi="Times New Roman" w:eastAsia="仿宋_GB2312"/>
          <w:color w:val="000000"/>
          <w:kern w:val="0"/>
          <w:sz w:val="30"/>
          <w:szCs w:val="32"/>
        </w:rPr>
        <w:t>工期。此外，合同当事人可在专用合同条款中另行约定承包人违约责任的承担方式和计算方法。</w:t>
      </w:r>
    </w:p>
    <w:p w14:paraId="2A0949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16.2.3 因承包人违约解除合同</w:t>
      </w:r>
    </w:p>
    <w:p w14:paraId="4E131C43">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除专用合同条款另有约定外，出现第16.2.1项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承包人违约的情形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7）目约定的违约情况时，或监理人发出整改通知后，承包人在指定的合理期限内仍不纠正违约行为并致使合同目的不能实现的，发包人有权解除合同。合同解除后，因继续完成工程的需要，发包人有权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合同当事人应在专用合同条款约定相应费用的承担方式。</w:t>
      </w: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继续使用的</w:t>
      </w:r>
      <w:r>
        <w:rPr>
          <w:rFonts w:ascii="Times New Roman" w:hAnsi="Times New Roman" w:eastAsia="仿宋_GB2312"/>
          <w:color w:val="000000"/>
          <w:kern w:val="0"/>
          <w:sz w:val="30"/>
          <w:szCs w:val="32"/>
        </w:rPr>
        <w:t>行为不免除或减轻承包人应承担的违约责任。</w:t>
      </w:r>
    </w:p>
    <w:p w14:paraId="6541E33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16.2.4因承包人违约解除合同后的处理</w:t>
      </w:r>
    </w:p>
    <w:p w14:paraId="5BB13E1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因承包人原因导致合同解除的，则合同当事人应在合同解除后28天内完成估价、付款和清算，并按以下约定执行：</w:t>
      </w:r>
    </w:p>
    <w:p w14:paraId="447D40C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（1）合同解除后，按第4.4款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商定或确定承包人实际完成工作对应的合同价款，以及承包人已提供的材料、工程设备、施工设备和临时工程等的价值；</w:t>
      </w:r>
    </w:p>
    <w:p w14:paraId="7F9760B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（2）合同解除后，承包人应支付的违约金；</w:t>
      </w:r>
    </w:p>
    <w:p w14:paraId="0C8DC5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（3）合同解除后，因解除合同给发包人造成的损失；</w:t>
      </w:r>
    </w:p>
    <w:p w14:paraId="5D1EFBD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（4）合同解除后，承包人应按照发包人要求和监理人的指示完成现场的清理和撤离；</w:t>
      </w:r>
    </w:p>
    <w:p w14:paraId="5348890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（5）发包人和承包人应在合同解除后进行清算，出具最终结清付款证书，结清全部款项。</w:t>
      </w:r>
    </w:p>
    <w:p w14:paraId="79F60FCE">
      <w:pPr>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因承包人违约解除合同的，</w:t>
      </w:r>
      <w:r>
        <w:rPr>
          <w:rFonts w:ascii="Times New Roman" w:hAnsi="Times New Roman" w:eastAsia="仿宋_GB2312"/>
          <w:color w:val="000000"/>
          <w:kern w:val="0"/>
          <w:sz w:val="30"/>
          <w:szCs w:val="32"/>
        </w:rPr>
        <w:t>发包人有权暂停对承包人的付款，查清各项付款和已扣款项。发包人和承包人未能就合同解除后的清算和款项支付达成一致的，按照第20条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495C4AE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16.2.5采购合同权益转让</w:t>
      </w:r>
    </w:p>
    <w:p w14:paraId="14C5355B">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承包人违约解除合同的，发包人有权要求承包人将其为实施合同而签订的材料和设备的采购合同的权益转让给发包人，承包人应在收到解除合同通知后14天内，协助发包人与采购合同的供应商达成相关的转让协议。</w:t>
      </w:r>
    </w:p>
    <w:p w14:paraId="238427CA">
      <w:pPr>
        <w:pStyle w:val="6"/>
        <w:spacing w:before="120" w:after="120" w:line="360" w:lineRule="auto"/>
        <w:ind w:firstLine="600" w:firstLineChars="200"/>
        <w:rPr>
          <w:rFonts w:ascii="Times New Roman" w:hAnsi="Times New Roman" w:eastAsia="黑体"/>
          <w:b w:val="0"/>
          <w:color w:val="000000"/>
          <w:sz w:val="30"/>
          <w:szCs w:val="32"/>
        </w:rPr>
      </w:pPr>
      <w:bookmarkStart w:id="360" w:name="_Toc351203606"/>
      <w:r>
        <w:rPr>
          <w:rFonts w:ascii="Times New Roman" w:hAnsi="Times New Roman" w:eastAsia="黑体"/>
          <w:b w:val="0"/>
          <w:color w:val="000000"/>
          <w:sz w:val="30"/>
          <w:szCs w:val="32"/>
        </w:rPr>
        <w:t>16.3 第三人造成的违约</w:t>
      </w:r>
      <w:bookmarkEnd w:id="360"/>
    </w:p>
    <w:p w14:paraId="1064D857">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在履行合同过程中，一方当事人因第三人的原因造成违约的，应当向对方当事人承担违约责任。一方当事人和第三人之间的纠纷，依照法律规定或者按照约定解决。</w:t>
      </w:r>
    </w:p>
    <w:p w14:paraId="074F5526">
      <w:pPr>
        <w:pStyle w:val="5"/>
        <w:spacing w:before="120" w:after="120" w:line="360" w:lineRule="auto"/>
        <w:rPr>
          <w:rFonts w:ascii="Times New Roman" w:hAnsi="Times New Roman" w:eastAsia="黑体"/>
          <w:b w:val="0"/>
          <w:color w:val="000000"/>
          <w:sz w:val="32"/>
          <w:szCs w:val="32"/>
        </w:rPr>
      </w:pPr>
      <w:bookmarkStart w:id="361" w:name="_Toc351203607"/>
      <w:bookmarkStart w:id="362" w:name="_Toc296346617"/>
      <w:bookmarkStart w:id="363" w:name="_Toc296503116"/>
      <w:bookmarkStart w:id="364" w:name="_Toc337558823"/>
      <w:r>
        <w:rPr>
          <w:rFonts w:ascii="Times New Roman" w:hAnsi="Times New Roman" w:eastAsia="黑体"/>
          <w:b w:val="0"/>
          <w:color w:val="000000"/>
          <w:sz w:val="32"/>
          <w:szCs w:val="32"/>
        </w:rPr>
        <w:t>17. 不可抗力</w:t>
      </w:r>
      <w:bookmarkEnd w:id="361"/>
      <w:r>
        <w:rPr>
          <w:rFonts w:ascii="Times New Roman" w:hAnsi="Times New Roman" w:eastAsia="黑体"/>
          <w:b w:val="0"/>
          <w:color w:val="000000"/>
          <w:sz w:val="32"/>
          <w:szCs w:val="32"/>
        </w:rPr>
        <w:t xml:space="preserve"> </w:t>
      </w:r>
      <w:bookmarkEnd w:id="362"/>
      <w:bookmarkEnd w:id="363"/>
      <w:bookmarkEnd w:id="364"/>
    </w:p>
    <w:p w14:paraId="42170891">
      <w:pPr>
        <w:pStyle w:val="6"/>
        <w:spacing w:before="120" w:after="120" w:line="360" w:lineRule="auto"/>
        <w:ind w:firstLine="600" w:firstLineChars="200"/>
        <w:rPr>
          <w:rFonts w:ascii="Times New Roman" w:hAnsi="Times New Roman" w:eastAsia="黑体"/>
          <w:b w:val="0"/>
          <w:color w:val="000000"/>
          <w:sz w:val="30"/>
          <w:szCs w:val="32"/>
        </w:rPr>
      </w:pPr>
      <w:bookmarkStart w:id="365" w:name="_Toc351203608"/>
      <w:bookmarkStart w:id="366" w:name="_Toc296503117"/>
      <w:bookmarkStart w:id="367" w:name="_Toc337558824"/>
      <w:bookmarkStart w:id="368" w:name="_Toc296346618"/>
      <w:r>
        <w:rPr>
          <w:rFonts w:ascii="Times New Roman" w:hAnsi="Times New Roman" w:eastAsia="黑体"/>
          <w:b w:val="0"/>
          <w:color w:val="000000"/>
          <w:sz w:val="30"/>
          <w:szCs w:val="32"/>
        </w:rPr>
        <w:t>17.1 不可抗力的确认</w:t>
      </w:r>
      <w:bookmarkEnd w:id="365"/>
    </w:p>
    <w:bookmarkEnd w:id="366"/>
    <w:bookmarkEnd w:id="367"/>
    <w:bookmarkEnd w:id="368"/>
    <w:p w14:paraId="5F37FA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不可抗力是指合同当事人在签订合同时不可预见，在合同履行过程中不可避免且不能克服的自然灾害和社会性突发事件，如地震、海啸、瘟疫、骚乱、戒严、暴动、战争和专用合同条款中约定的其他情形。</w:t>
      </w:r>
    </w:p>
    <w:p w14:paraId="4DD695A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不可抗力发生后，发包人和承包人应收集证明不可抗力发生及不可抗力造成损失的证据，并及时认真统计所造成的损失。合同当事人对是否属于不可抗力或其损失的意见不一致的，由监理人按第4.4款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的约定处理。发生争议时，按第20条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的约定处理。</w:t>
      </w:r>
    </w:p>
    <w:p w14:paraId="334B339E">
      <w:pPr>
        <w:pStyle w:val="6"/>
        <w:spacing w:before="120" w:after="120" w:line="360" w:lineRule="auto"/>
        <w:ind w:firstLine="600" w:firstLineChars="200"/>
        <w:rPr>
          <w:rFonts w:ascii="Times New Roman" w:hAnsi="Times New Roman" w:eastAsia="黑体"/>
          <w:b w:val="0"/>
          <w:color w:val="000000"/>
          <w:sz w:val="30"/>
          <w:szCs w:val="32"/>
        </w:rPr>
      </w:pPr>
      <w:bookmarkStart w:id="369" w:name="_Toc351203609"/>
      <w:bookmarkStart w:id="370" w:name="_Toc296346619"/>
      <w:bookmarkStart w:id="371" w:name="_Toc296503118"/>
      <w:bookmarkStart w:id="372" w:name="_Toc337558825"/>
      <w:r>
        <w:rPr>
          <w:rFonts w:ascii="Times New Roman" w:hAnsi="Times New Roman" w:eastAsia="黑体"/>
          <w:b w:val="0"/>
          <w:color w:val="000000"/>
          <w:sz w:val="30"/>
          <w:szCs w:val="32"/>
        </w:rPr>
        <w:t>17.2 不可抗力的通知</w:t>
      </w:r>
      <w:bookmarkEnd w:id="369"/>
    </w:p>
    <w:bookmarkEnd w:id="370"/>
    <w:bookmarkEnd w:id="371"/>
    <w:bookmarkEnd w:id="372"/>
    <w:p w14:paraId="7B3A734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合同</w:t>
      </w:r>
      <w:r>
        <w:rPr>
          <w:rFonts w:ascii="Times New Roman" w:hAnsi="Times New Roman" w:eastAsia="仿宋_GB2312"/>
          <w:color w:val="000000"/>
          <w:kern w:val="0"/>
          <w:sz w:val="30"/>
          <w:szCs w:val="32"/>
        </w:rPr>
        <w:t>一方当事人遇到不可抗力事件，使其履行合同义务受到阻碍时，应立即通知合同另一方当事人和监理人，书面说明不可抗力和受阻碍的详细情况，并提供必要的证明。</w:t>
      </w:r>
    </w:p>
    <w:p w14:paraId="7D8BB1F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不可抗力持续发生的，合同一方当事人应及时向合同另一方当事人和监理人提交中间报告，说明不可抗力和履行合同受阻的情况，并于不可抗力事件结束后28天内提交最终报告及有关资料。</w:t>
      </w:r>
    </w:p>
    <w:p w14:paraId="4B567DA4">
      <w:pPr>
        <w:pStyle w:val="6"/>
        <w:spacing w:before="120" w:after="120" w:line="360" w:lineRule="auto"/>
        <w:ind w:firstLine="600" w:firstLineChars="200"/>
        <w:rPr>
          <w:rFonts w:ascii="Times New Roman" w:hAnsi="Times New Roman" w:eastAsia="黑体"/>
          <w:b w:val="0"/>
          <w:color w:val="000000"/>
          <w:sz w:val="30"/>
          <w:szCs w:val="32"/>
        </w:rPr>
      </w:pPr>
      <w:bookmarkStart w:id="373" w:name="_Toc351203610"/>
      <w:bookmarkStart w:id="374" w:name="_Toc296346620"/>
      <w:bookmarkStart w:id="375" w:name="_Toc296503119"/>
      <w:bookmarkStart w:id="376" w:name="_Toc337558826"/>
      <w:r>
        <w:rPr>
          <w:rFonts w:ascii="Times New Roman" w:hAnsi="Times New Roman" w:eastAsia="黑体"/>
          <w:b w:val="0"/>
          <w:color w:val="000000"/>
          <w:sz w:val="30"/>
          <w:szCs w:val="32"/>
        </w:rPr>
        <w:t>17.3 不可抗力后果的承担</w:t>
      </w:r>
      <w:bookmarkEnd w:id="373"/>
    </w:p>
    <w:bookmarkEnd w:id="374"/>
    <w:bookmarkEnd w:id="375"/>
    <w:bookmarkEnd w:id="376"/>
    <w:p w14:paraId="34EAA9F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17.3.1 </w:t>
      </w:r>
      <w:r>
        <w:rPr>
          <w:rFonts w:hint="eastAsia" w:ascii="Times New Roman" w:hAnsi="Times New Roman" w:eastAsia="仿宋_GB2312"/>
          <w:color w:val="000000"/>
          <w:kern w:val="0"/>
          <w:sz w:val="30"/>
          <w:szCs w:val="32"/>
        </w:rPr>
        <w:t>不可抗力引起的后果及造成的损失由合同当事人按照法律规定及合同约定各自承担。</w:t>
      </w:r>
      <w:r>
        <w:rPr>
          <w:rFonts w:ascii="Times New Roman" w:hAnsi="Times New Roman" w:eastAsia="仿宋_GB2312"/>
          <w:color w:val="000000"/>
          <w:kern w:val="0"/>
          <w:sz w:val="30"/>
          <w:szCs w:val="32"/>
        </w:rPr>
        <w:t>不可抗力发生前已完</w:t>
      </w:r>
      <w:r>
        <w:rPr>
          <w:rFonts w:hint="eastAsia" w:ascii="Times New Roman" w:hAnsi="Times New Roman" w:eastAsia="仿宋_GB2312"/>
          <w:color w:val="000000"/>
          <w:kern w:val="0"/>
          <w:sz w:val="30"/>
          <w:szCs w:val="32"/>
        </w:rPr>
        <w:t>成的</w:t>
      </w:r>
      <w:r>
        <w:rPr>
          <w:rFonts w:ascii="Times New Roman" w:hAnsi="Times New Roman" w:eastAsia="仿宋_GB2312"/>
          <w:color w:val="000000"/>
          <w:kern w:val="0"/>
          <w:sz w:val="30"/>
          <w:szCs w:val="32"/>
        </w:rPr>
        <w:t>工程应当按照合同约定进行计量</w:t>
      </w:r>
      <w:r>
        <w:rPr>
          <w:rFonts w:hint="eastAsia" w:ascii="Times New Roman" w:hAnsi="Times New Roman" w:eastAsia="仿宋_GB2312"/>
          <w:color w:val="000000"/>
          <w:kern w:val="0"/>
          <w:sz w:val="30"/>
          <w:szCs w:val="32"/>
        </w:rPr>
        <w:t>支付</w:t>
      </w:r>
      <w:r>
        <w:rPr>
          <w:rFonts w:ascii="Times New Roman" w:hAnsi="Times New Roman" w:eastAsia="仿宋_GB2312"/>
          <w:color w:val="000000"/>
          <w:kern w:val="0"/>
          <w:sz w:val="30"/>
          <w:szCs w:val="32"/>
        </w:rPr>
        <w:t>。</w:t>
      </w:r>
    </w:p>
    <w:p w14:paraId="4FBCDB9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17.3.2 不可抗力导致的人员伤亡、财产损失、费用增加和（或）工期延误等后果，由合同当事人按以下原则承担：</w:t>
      </w:r>
    </w:p>
    <w:p w14:paraId="3704CC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（1）永久工程、已运至施工现场的材料和工程设备的损坏，以及因工程损坏造成的第三人人员伤亡和财产损失由发包人承担；</w:t>
      </w:r>
    </w:p>
    <w:p w14:paraId="7FE22FB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（2）承包人施工设备的损坏由承包人承担；</w:t>
      </w:r>
    </w:p>
    <w:p w14:paraId="4F63E5D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（3）发包人和承包人承担各自人员伤亡和财产的损失；</w:t>
      </w:r>
    </w:p>
    <w:p w14:paraId="33E1FF1B">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（4）因不可抗力影响承包人履行合同约定的义务，已经引起或将引起工期延误的，应当顺延工期，由此导致承包人停工的费用损失由发包人和承包人合理分担，停工期间必须支付的工人工资由发包人承担；</w:t>
      </w:r>
    </w:p>
    <w:p w14:paraId="0056837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（5）因不可抗力引起或将引起工期延误，发包人要求赶工的，由此增加的赶工费用由发包人承担；</w:t>
      </w:r>
    </w:p>
    <w:p w14:paraId="08D1112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（6）承包人在停工期间按照发包人要求照管、清理和修复工程的费用由发包人承担。</w:t>
      </w:r>
    </w:p>
    <w:p w14:paraId="2C8230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不可抗力发生后，合同当事人均应采取措施尽量避免和减少损失的扩大，任何一方当事人没有采取有效措施导致损失扩大的，应对扩大的损失承担责任。</w:t>
      </w:r>
    </w:p>
    <w:p w14:paraId="7680606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因合同一方迟延履行合同义务，在迟延履行期间遭遇不可抗力的，不免除其违约责任。</w:t>
      </w:r>
    </w:p>
    <w:p w14:paraId="0369AAE6">
      <w:pPr>
        <w:pStyle w:val="6"/>
        <w:spacing w:before="120" w:after="120" w:line="360" w:lineRule="auto"/>
        <w:ind w:firstLine="600" w:firstLineChars="200"/>
        <w:rPr>
          <w:rFonts w:ascii="Times New Roman" w:hAnsi="Times New Roman" w:eastAsia="黑体"/>
          <w:b w:val="0"/>
          <w:color w:val="000000"/>
          <w:sz w:val="30"/>
          <w:szCs w:val="32"/>
        </w:rPr>
      </w:pPr>
      <w:bookmarkStart w:id="377" w:name="_Toc351203611"/>
      <w:bookmarkStart w:id="378" w:name="_Toc337558827"/>
      <w:r>
        <w:rPr>
          <w:rFonts w:ascii="Times New Roman" w:hAnsi="Times New Roman" w:eastAsia="黑体"/>
          <w:b w:val="0"/>
          <w:color w:val="000000"/>
          <w:sz w:val="30"/>
          <w:szCs w:val="32"/>
        </w:rPr>
        <w:t>17.4 因不可抗力解除合同</w:t>
      </w:r>
      <w:bookmarkEnd w:id="377"/>
    </w:p>
    <w:bookmarkEnd w:id="378"/>
    <w:p w14:paraId="32C065B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因不可抗力导致合同无法履行连续超过84天或累计超过140天的，发包人和承包人均有权解除合同。合同解除后，由双方当事人按照第4.4款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商定或确定发包人应支付的款项，该款项包括：</w:t>
      </w:r>
    </w:p>
    <w:p w14:paraId="2CC58DB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（1）合同解除前承包人已完成工作的价款；</w:t>
      </w:r>
    </w:p>
    <w:p w14:paraId="59B12F6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（2）承包人为工程订购的并已交付给承包人，或承包人有责任接受交付的材料、工程设备和其他物品的价款；</w:t>
      </w:r>
    </w:p>
    <w:p w14:paraId="79D73F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（3）发包人要求承包人退货或解除订货合同而产生的费用，或因不能退货或解除合同而产生的损失；</w:t>
      </w:r>
    </w:p>
    <w:p w14:paraId="1C7AB1D6">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（4）承包人撤离施工现场以及遣散承包人人员的费用；</w:t>
      </w:r>
    </w:p>
    <w:p w14:paraId="6DC7CC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（5）按照合同约定在合同解除前应支付给承包人的其他款项；</w:t>
      </w:r>
    </w:p>
    <w:p w14:paraId="78E35AF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（6）扣减承包人按照合同约定应向发包人支付的款项；</w:t>
      </w:r>
    </w:p>
    <w:p w14:paraId="59A282B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（7）双方商定或确定的其他款项。</w:t>
      </w:r>
    </w:p>
    <w:p w14:paraId="71D1E43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除专用合同条款另有约定外，合同解除后，发包人应在商定或确定上述款项后28天内完成上述款项的支付。</w:t>
      </w:r>
    </w:p>
    <w:p w14:paraId="100D2D38">
      <w:pPr>
        <w:pStyle w:val="5"/>
        <w:spacing w:before="120" w:after="120" w:line="360" w:lineRule="auto"/>
        <w:rPr>
          <w:rFonts w:ascii="Times New Roman" w:hAnsi="Times New Roman" w:eastAsia="黑体"/>
          <w:b w:val="0"/>
          <w:color w:val="000000"/>
          <w:sz w:val="32"/>
          <w:szCs w:val="32"/>
        </w:rPr>
      </w:pPr>
      <w:bookmarkStart w:id="379" w:name="_Toc351203612"/>
      <w:bookmarkStart w:id="380" w:name="_Toc296503120"/>
      <w:bookmarkStart w:id="381" w:name="_Toc337558828"/>
      <w:bookmarkStart w:id="382" w:name="_Toc296346621"/>
      <w:r>
        <w:rPr>
          <w:rFonts w:ascii="Times New Roman" w:hAnsi="Times New Roman" w:eastAsia="黑体"/>
          <w:b w:val="0"/>
          <w:color w:val="000000"/>
          <w:sz w:val="32"/>
          <w:szCs w:val="32"/>
        </w:rPr>
        <w:t>18. 保险</w:t>
      </w:r>
      <w:bookmarkEnd w:id="379"/>
    </w:p>
    <w:bookmarkEnd w:id="380"/>
    <w:bookmarkEnd w:id="381"/>
    <w:bookmarkEnd w:id="382"/>
    <w:p w14:paraId="3C7A1F22">
      <w:pPr>
        <w:pStyle w:val="6"/>
        <w:spacing w:before="120" w:after="120" w:line="360" w:lineRule="auto"/>
        <w:ind w:firstLine="600" w:firstLineChars="200"/>
        <w:rPr>
          <w:rFonts w:ascii="Times New Roman" w:hAnsi="Times New Roman" w:eastAsia="黑体"/>
          <w:b w:val="0"/>
          <w:color w:val="000000"/>
          <w:sz w:val="30"/>
          <w:szCs w:val="32"/>
        </w:rPr>
      </w:pPr>
      <w:bookmarkStart w:id="383" w:name="_Toc351203613"/>
      <w:bookmarkStart w:id="384" w:name="_Toc296346622"/>
      <w:bookmarkStart w:id="385" w:name="_Toc296503121"/>
      <w:bookmarkStart w:id="386" w:name="_Toc337558829"/>
      <w:r>
        <w:rPr>
          <w:rFonts w:ascii="Times New Roman" w:hAnsi="Times New Roman" w:eastAsia="黑体"/>
          <w:b w:val="0"/>
          <w:color w:val="000000"/>
          <w:sz w:val="30"/>
          <w:szCs w:val="32"/>
        </w:rPr>
        <w:t>18.1 工程保险</w:t>
      </w:r>
      <w:bookmarkEnd w:id="383"/>
    </w:p>
    <w:bookmarkEnd w:id="384"/>
    <w:bookmarkEnd w:id="385"/>
    <w:bookmarkEnd w:id="386"/>
    <w:p w14:paraId="537B78D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除专用合同条款另有约定外，发包人应投保建筑工程一切险或安装工程一切险；发包人委托承包人投保的，因投保产生的保险费和其他相关费用由发包人承担。</w:t>
      </w:r>
    </w:p>
    <w:p w14:paraId="3B2C0E6D">
      <w:pPr>
        <w:pStyle w:val="6"/>
        <w:spacing w:before="120" w:after="120" w:line="360" w:lineRule="auto"/>
        <w:ind w:firstLine="600" w:firstLineChars="200"/>
        <w:rPr>
          <w:rFonts w:ascii="Times New Roman" w:hAnsi="Times New Roman" w:eastAsia="黑体"/>
          <w:b w:val="0"/>
          <w:color w:val="000000"/>
          <w:sz w:val="30"/>
          <w:szCs w:val="32"/>
        </w:rPr>
      </w:pPr>
      <w:bookmarkStart w:id="387" w:name="_Toc351203614"/>
      <w:bookmarkStart w:id="388" w:name="_Toc296503122"/>
      <w:bookmarkStart w:id="389" w:name="_Toc337558830"/>
      <w:bookmarkStart w:id="390" w:name="_Toc296346623"/>
      <w:r>
        <w:rPr>
          <w:rFonts w:ascii="Times New Roman" w:hAnsi="Times New Roman" w:eastAsia="黑体"/>
          <w:b w:val="0"/>
          <w:color w:val="000000"/>
          <w:sz w:val="30"/>
          <w:szCs w:val="32"/>
        </w:rPr>
        <w:t>18.2 工伤保险</w:t>
      </w:r>
      <w:bookmarkEnd w:id="387"/>
    </w:p>
    <w:bookmarkEnd w:id="388"/>
    <w:bookmarkEnd w:id="389"/>
    <w:bookmarkEnd w:id="390"/>
    <w:p w14:paraId="7686A47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18.2.1 发包人应依照法律规定参加工伤保险，并为在施工现场的全部员工办理工伤保险，缴纳工伤保险费，并要求监理人及由发包人为履行合同聘请的第三方依法参加工伤保险。</w:t>
      </w:r>
    </w:p>
    <w:p w14:paraId="3F25C8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18.2.2 承包人应依照法律规定参加工伤保险，并为其履行合同的全部员工办理工伤保险，缴纳工伤保险费，并要求分包人及由承包人为履行合同聘请的第三方依法参加工伤保险。</w:t>
      </w:r>
    </w:p>
    <w:p w14:paraId="60118D7A">
      <w:pPr>
        <w:pStyle w:val="6"/>
        <w:spacing w:before="120" w:after="120" w:line="360" w:lineRule="auto"/>
        <w:ind w:firstLine="600" w:firstLineChars="200"/>
        <w:rPr>
          <w:rFonts w:ascii="Times New Roman" w:hAnsi="Times New Roman" w:eastAsia="黑体"/>
          <w:b w:val="0"/>
          <w:color w:val="000000"/>
          <w:sz w:val="30"/>
          <w:szCs w:val="32"/>
        </w:rPr>
      </w:pPr>
      <w:bookmarkStart w:id="391" w:name="_Toc351203615"/>
      <w:bookmarkStart w:id="392" w:name="_Toc337558831"/>
      <w:bookmarkStart w:id="393" w:name="_Toc296503125"/>
      <w:bookmarkStart w:id="394" w:name="_Toc296346626"/>
      <w:r>
        <w:rPr>
          <w:rFonts w:ascii="Times New Roman" w:hAnsi="Times New Roman" w:eastAsia="黑体"/>
          <w:b w:val="0"/>
          <w:color w:val="000000"/>
          <w:sz w:val="30"/>
          <w:szCs w:val="32"/>
        </w:rPr>
        <w:t>18.3其他保险</w:t>
      </w:r>
      <w:bookmarkEnd w:id="391"/>
    </w:p>
    <w:bookmarkEnd w:id="392"/>
    <w:bookmarkEnd w:id="393"/>
    <w:bookmarkEnd w:id="394"/>
    <w:p w14:paraId="16FE58E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发包人和承包人可以为其施工现场的全部人员办理意外伤害保险并支付保险费，包括其员工及为履行合同聘请的第三方的人员，具体事项由合同当事人在专用合同条款约定。</w:t>
      </w:r>
    </w:p>
    <w:p w14:paraId="2DAA40C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除专用合同条款另有约定外，承包人应为其施工设备等办理财产保险。</w:t>
      </w:r>
    </w:p>
    <w:p w14:paraId="338C7E28">
      <w:pPr>
        <w:pStyle w:val="6"/>
        <w:spacing w:before="120" w:after="120" w:line="360" w:lineRule="auto"/>
        <w:ind w:firstLine="600" w:firstLineChars="200"/>
        <w:rPr>
          <w:rFonts w:ascii="Times New Roman" w:hAnsi="Times New Roman" w:eastAsia="黑体"/>
          <w:b w:val="0"/>
          <w:color w:val="000000"/>
          <w:sz w:val="30"/>
          <w:szCs w:val="32"/>
        </w:rPr>
      </w:pPr>
      <w:bookmarkStart w:id="395" w:name="_Toc351203616"/>
      <w:r>
        <w:rPr>
          <w:rFonts w:ascii="Times New Roman" w:hAnsi="Times New Roman" w:eastAsia="黑体"/>
          <w:b w:val="0"/>
          <w:color w:val="000000"/>
          <w:sz w:val="30"/>
          <w:szCs w:val="32"/>
        </w:rPr>
        <w:t>18.4持续保险</w:t>
      </w:r>
      <w:bookmarkEnd w:id="395"/>
    </w:p>
    <w:p w14:paraId="3134FEE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合同当事人应与保险人保持联系，使保险人能够随时了解工程实施中的变动，并确保按保险合同条款要求持续保险。</w:t>
      </w:r>
    </w:p>
    <w:p w14:paraId="7542CB9D">
      <w:pPr>
        <w:pStyle w:val="6"/>
        <w:spacing w:before="120" w:after="120" w:line="360" w:lineRule="auto"/>
        <w:ind w:firstLine="600" w:firstLineChars="200"/>
        <w:rPr>
          <w:rFonts w:ascii="Times New Roman" w:hAnsi="Times New Roman" w:eastAsia="黑体"/>
          <w:b w:val="0"/>
          <w:color w:val="000000"/>
          <w:sz w:val="30"/>
          <w:szCs w:val="32"/>
        </w:rPr>
      </w:pPr>
      <w:bookmarkStart w:id="396" w:name="_Toc351203617"/>
      <w:bookmarkStart w:id="397" w:name="_Toc296346627"/>
      <w:bookmarkStart w:id="398" w:name="_Toc296503126"/>
      <w:bookmarkStart w:id="399" w:name="_Toc337558832"/>
      <w:r>
        <w:rPr>
          <w:rFonts w:ascii="Times New Roman" w:hAnsi="Times New Roman" w:eastAsia="黑体"/>
          <w:b w:val="0"/>
          <w:color w:val="000000"/>
          <w:sz w:val="30"/>
          <w:szCs w:val="32"/>
        </w:rPr>
        <w:t>18.5 保险凭证</w:t>
      </w:r>
      <w:bookmarkEnd w:id="396"/>
    </w:p>
    <w:bookmarkEnd w:id="397"/>
    <w:bookmarkEnd w:id="398"/>
    <w:bookmarkEnd w:id="399"/>
    <w:p w14:paraId="633AAE9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合同当事人应及时向另一方当事人提交其已投保的各项保险的凭证和保险单复印件。</w:t>
      </w:r>
    </w:p>
    <w:p w14:paraId="53ADCB64">
      <w:pPr>
        <w:pStyle w:val="6"/>
        <w:spacing w:before="120" w:after="120" w:line="360" w:lineRule="auto"/>
        <w:ind w:firstLine="600" w:firstLineChars="200"/>
        <w:rPr>
          <w:rFonts w:ascii="Times New Roman" w:hAnsi="Times New Roman" w:eastAsia="黑体"/>
          <w:b w:val="0"/>
          <w:color w:val="000000"/>
          <w:sz w:val="30"/>
          <w:szCs w:val="32"/>
        </w:rPr>
      </w:pPr>
      <w:bookmarkStart w:id="400" w:name="_Toc351203618"/>
      <w:bookmarkStart w:id="401" w:name="_Toc337558833"/>
      <w:bookmarkStart w:id="402" w:name="_Toc296503127"/>
      <w:bookmarkStart w:id="403" w:name="_Toc296346628"/>
      <w:r>
        <w:rPr>
          <w:rFonts w:ascii="Times New Roman" w:hAnsi="Times New Roman" w:eastAsia="黑体"/>
          <w:b w:val="0"/>
          <w:color w:val="000000"/>
          <w:sz w:val="30"/>
          <w:szCs w:val="32"/>
        </w:rPr>
        <w:t>18.6 未按约定投保的补救</w:t>
      </w:r>
      <w:bookmarkEnd w:id="400"/>
    </w:p>
    <w:bookmarkEnd w:id="401"/>
    <w:bookmarkEnd w:id="402"/>
    <w:bookmarkEnd w:id="403"/>
    <w:p w14:paraId="15639FF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18.6.1发包人未按合同约定办理保险，或未能使保险持续有效的，则承包人可代为办理，所需费用由发包人承担。发包人未按合同约定办理保险，导致未能得到足额赔偿的，由发包人负责补足。</w:t>
      </w:r>
    </w:p>
    <w:p w14:paraId="6A0F826F">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18.6.2承包人未按合同约定办理保险，或未能使保险持续有效的，则发包人可代为办理，所需费用由承包人承担。承包人未按合同约定办理保险，导致未能得到足额赔偿的，由承包人负责补足。</w:t>
      </w:r>
    </w:p>
    <w:p w14:paraId="460DCAC8">
      <w:pPr>
        <w:pStyle w:val="6"/>
        <w:spacing w:before="120" w:after="120" w:line="360" w:lineRule="auto"/>
        <w:ind w:firstLine="600" w:firstLineChars="200"/>
        <w:rPr>
          <w:rFonts w:ascii="Times New Roman" w:hAnsi="Times New Roman" w:eastAsia="黑体"/>
          <w:b w:val="0"/>
          <w:color w:val="000000"/>
          <w:sz w:val="30"/>
          <w:szCs w:val="32"/>
        </w:rPr>
      </w:pPr>
      <w:bookmarkStart w:id="404" w:name="_Toc351203619"/>
      <w:bookmarkStart w:id="405" w:name="_Toc337558834"/>
      <w:r>
        <w:rPr>
          <w:rFonts w:ascii="Times New Roman" w:hAnsi="Times New Roman" w:eastAsia="黑体"/>
          <w:b w:val="0"/>
          <w:color w:val="000000"/>
          <w:sz w:val="30"/>
          <w:szCs w:val="32"/>
        </w:rPr>
        <w:t>18.7 通知义务</w:t>
      </w:r>
      <w:bookmarkEnd w:id="404"/>
    </w:p>
    <w:bookmarkEnd w:id="405"/>
    <w:p w14:paraId="2019BB0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除专用合同条款另有约定外，发包人变更除工伤保险之外的保险合同时，应事先征得承包人同意，并通知监理人；承包人变更除工伤保险之外的保险合同时，应事先征得发包人同意，并通知监理人。</w:t>
      </w:r>
    </w:p>
    <w:p w14:paraId="354EC97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保险事故发生时，投保人应按照保险合同规定的条件和期限及时向保险人报告。发包人和承包人应当在知道保险事故发生后及时通知对方。</w:t>
      </w:r>
    </w:p>
    <w:p w14:paraId="26B1826C">
      <w:pPr>
        <w:pStyle w:val="5"/>
        <w:spacing w:before="120" w:after="120" w:line="360" w:lineRule="auto"/>
        <w:rPr>
          <w:rFonts w:ascii="Times New Roman" w:hAnsi="Times New Roman" w:eastAsia="黑体"/>
          <w:b w:val="0"/>
          <w:color w:val="000000"/>
          <w:sz w:val="32"/>
          <w:szCs w:val="32"/>
        </w:rPr>
      </w:pPr>
      <w:bookmarkStart w:id="406" w:name="_Toc351203620"/>
      <w:bookmarkStart w:id="407" w:name="_Toc296503140"/>
      <w:bookmarkStart w:id="408" w:name="_Toc296346641"/>
      <w:bookmarkStart w:id="409" w:name="_Toc337558835"/>
      <w:r>
        <w:rPr>
          <w:rFonts w:ascii="Times New Roman" w:hAnsi="Times New Roman" w:eastAsia="黑体"/>
          <w:b w:val="0"/>
          <w:color w:val="000000"/>
          <w:sz w:val="32"/>
          <w:szCs w:val="32"/>
        </w:rPr>
        <w:t>19. 索赔</w:t>
      </w:r>
      <w:bookmarkEnd w:id="406"/>
    </w:p>
    <w:bookmarkEnd w:id="407"/>
    <w:bookmarkEnd w:id="408"/>
    <w:bookmarkEnd w:id="409"/>
    <w:p w14:paraId="5A1C2104">
      <w:pPr>
        <w:pStyle w:val="6"/>
        <w:spacing w:before="120" w:after="120" w:line="360" w:lineRule="auto"/>
        <w:ind w:firstLine="600" w:firstLineChars="200"/>
        <w:rPr>
          <w:rFonts w:ascii="Times New Roman" w:hAnsi="Times New Roman" w:eastAsia="黑体"/>
          <w:b w:val="0"/>
          <w:color w:val="000000"/>
          <w:sz w:val="30"/>
          <w:szCs w:val="32"/>
        </w:rPr>
      </w:pPr>
      <w:bookmarkStart w:id="410" w:name="_Toc351203621"/>
      <w:bookmarkStart w:id="411" w:name="_Toc296503141"/>
      <w:bookmarkStart w:id="412" w:name="_Toc296346642"/>
      <w:bookmarkStart w:id="413" w:name="_Toc337558836"/>
      <w:r>
        <w:rPr>
          <w:rFonts w:ascii="Times New Roman" w:hAnsi="Times New Roman" w:eastAsia="黑体"/>
          <w:b w:val="0"/>
          <w:color w:val="000000"/>
          <w:sz w:val="30"/>
          <w:szCs w:val="32"/>
        </w:rPr>
        <w:t>19.1承包人的索赔</w:t>
      </w:r>
      <w:bookmarkEnd w:id="410"/>
    </w:p>
    <w:bookmarkEnd w:id="411"/>
    <w:bookmarkEnd w:id="412"/>
    <w:bookmarkEnd w:id="413"/>
    <w:p w14:paraId="09FA74A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根据合同约定，承包人认为有权得到追加付款和（或）延长工期的，应按以下程序向</w:t>
      </w:r>
      <w:r>
        <w:rPr>
          <w:rFonts w:hint="eastAsia" w:ascii="Times New Roman" w:hAnsi="Times New Roman" w:eastAsia="仿宋_GB2312"/>
          <w:color w:val="000000"/>
          <w:kern w:val="0"/>
          <w:sz w:val="30"/>
          <w:szCs w:val="32"/>
        </w:rPr>
        <w:t>发包</w:t>
      </w:r>
      <w:r>
        <w:rPr>
          <w:rFonts w:ascii="Times New Roman" w:hAnsi="Times New Roman" w:eastAsia="仿宋_GB2312"/>
          <w:color w:val="000000"/>
          <w:kern w:val="0"/>
          <w:sz w:val="30"/>
          <w:szCs w:val="32"/>
        </w:rPr>
        <w:t>人提出索赔：</w:t>
      </w:r>
    </w:p>
    <w:p w14:paraId="4504FA5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（1）承包人应在知道或应当知道索赔事件发生后28天内，向监理人递交索赔意向通知书，并说明发生索赔事件的事由；承包人未在前述28天内发出索赔意向通知书的，丧失要求追加付款和（或）延长工期的权利；</w:t>
      </w:r>
    </w:p>
    <w:p w14:paraId="140CB89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（2）承包人应在发出索赔意向通知书后28天内，向监理人正式递交索赔报告；索赔报告应详细说明索赔理由以及要求追加的付款金额和（或）延长的工期，并附必要的记录和证明材料；</w:t>
      </w:r>
    </w:p>
    <w:p w14:paraId="1634254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（3）索赔事件具有持续影响的，承包人应按合理时间间隔继续递交延续索赔通知，说明持续影响的实际情况和记录，列出累计的追加付款金额和（或）工期延长天数；</w:t>
      </w:r>
    </w:p>
    <w:p w14:paraId="4EEA940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（4）在索赔事件影响结束后28天内，承包人应向监理人递交最终索赔报告，说明最终要求索赔的追加付款金额和（或）延长的工期，并附必要的记录和证明材料。</w:t>
      </w:r>
    </w:p>
    <w:p w14:paraId="24A29B54">
      <w:pPr>
        <w:pStyle w:val="6"/>
        <w:spacing w:before="120" w:after="120" w:line="360" w:lineRule="auto"/>
        <w:ind w:firstLine="600" w:firstLineChars="200"/>
        <w:rPr>
          <w:rFonts w:ascii="Times New Roman" w:hAnsi="Times New Roman" w:eastAsia="黑体"/>
          <w:b w:val="0"/>
          <w:color w:val="000000"/>
          <w:sz w:val="30"/>
          <w:szCs w:val="32"/>
        </w:rPr>
      </w:pPr>
      <w:bookmarkStart w:id="414" w:name="_Toc351203622"/>
      <w:bookmarkStart w:id="415" w:name="_Toc337558837"/>
      <w:bookmarkStart w:id="416" w:name="_Toc296346643"/>
      <w:bookmarkStart w:id="417" w:name="_Toc296503142"/>
      <w:r>
        <w:rPr>
          <w:rFonts w:ascii="Times New Roman" w:hAnsi="Times New Roman" w:eastAsia="黑体"/>
          <w:b w:val="0"/>
          <w:color w:val="000000"/>
          <w:sz w:val="30"/>
          <w:szCs w:val="32"/>
        </w:rPr>
        <w:t>19.2 对承包人索赔的处理</w:t>
      </w:r>
      <w:bookmarkEnd w:id="414"/>
    </w:p>
    <w:bookmarkEnd w:id="415"/>
    <w:bookmarkEnd w:id="416"/>
    <w:bookmarkEnd w:id="417"/>
    <w:p w14:paraId="62F355D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对承包人索赔的处理如下：</w:t>
      </w:r>
    </w:p>
    <w:p w14:paraId="2D76F01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（1）监理人应在收到索赔报告后14天内完成审查并报送发包人。监理人对索赔报告存在异议的，有权要求承包人提交全部原始记录副本；</w:t>
      </w:r>
    </w:p>
    <w:p w14:paraId="67EE67E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（2）发包人应在监理人收到索赔报告或有关索赔的进一步证明材料后的28天内，由监理人向承包人出具经发包人签认的索赔处理结果。发包人逾期答复的，则视为认可承包人的索赔要求；</w:t>
      </w:r>
    </w:p>
    <w:p w14:paraId="0322A2E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（3）承包人接受索赔处理结果的，索赔款项在当期进度款中进行支付；承包人不接受索赔处理结果的，按照第20条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7A170E12">
      <w:pPr>
        <w:pStyle w:val="6"/>
        <w:spacing w:before="120" w:after="120" w:line="360" w:lineRule="auto"/>
        <w:ind w:firstLine="600" w:firstLineChars="200"/>
        <w:rPr>
          <w:rFonts w:ascii="Times New Roman" w:hAnsi="Times New Roman" w:eastAsia="黑体"/>
          <w:b w:val="0"/>
          <w:color w:val="000000"/>
          <w:sz w:val="30"/>
          <w:szCs w:val="32"/>
        </w:rPr>
      </w:pPr>
      <w:bookmarkStart w:id="418" w:name="_Toc351203623"/>
      <w:bookmarkStart w:id="419" w:name="_Toc337558838"/>
      <w:bookmarkStart w:id="420" w:name="_Toc296503143"/>
      <w:bookmarkStart w:id="421" w:name="_Toc296346644"/>
      <w:r>
        <w:rPr>
          <w:rFonts w:ascii="Times New Roman" w:hAnsi="Times New Roman" w:eastAsia="黑体"/>
          <w:b w:val="0"/>
          <w:color w:val="000000"/>
          <w:sz w:val="30"/>
          <w:szCs w:val="32"/>
        </w:rPr>
        <w:t>19.3发包人的索赔</w:t>
      </w:r>
      <w:bookmarkEnd w:id="418"/>
    </w:p>
    <w:bookmarkEnd w:id="419"/>
    <w:bookmarkEnd w:id="420"/>
    <w:bookmarkEnd w:id="421"/>
    <w:p w14:paraId="039AD01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根据合同约定，发包人认为有权得到赔付金额和（或）延长缺陷责任期的，监理人应向承包人发出通知并附有详细的证明。</w:t>
      </w:r>
    </w:p>
    <w:p w14:paraId="4D829C2A">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应在知道或应当知道索赔事件发生后28天内通过监理人向承包人提出索赔意向通知书，发包人未在前述28天内发出索赔意向通知书的，丧失要求赔付金额和（或）延长缺陷责任期的权利。发包人应在发出索赔意向通知书后28天内，通过监理人向承包人正式递交索赔报告。</w:t>
      </w:r>
    </w:p>
    <w:p w14:paraId="6EC84889">
      <w:pPr>
        <w:pStyle w:val="6"/>
        <w:spacing w:before="120" w:after="120" w:line="360" w:lineRule="auto"/>
        <w:ind w:firstLine="600" w:firstLineChars="200"/>
        <w:rPr>
          <w:rFonts w:ascii="Times New Roman" w:hAnsi="Times New Roman" w:eastAsia="黑体"/>
          <w:b w:val="0"/>
          <w:color w:val="000000"/>
          <w:sz w:val="30"/>
          <w:szCs w:val="32"/>
        </w:rPr>
      </w:pPr>
      <w:bookmarkStart w:id="422" w:name="_Toc351203624"/>
      <w:bookmarkStart w:id="423" w:name="_Toc337558839"/>
      <w:bookmarkStart w:id="424" w:name="_Toc296346645"/>
      <w:bookmarkStart w:id="425" w:name="_Toc296503144"/>
      <w:r>
        <w:rPr>
          <w:rFonts w:ascii="Times New Roman" w:hAnsi="Times New Roman" w:eastAsia="黑体"/>
          <w:b w:val="0"/>
          <w:color w:val="000000"/>
          <w:sz w:val="30"/>
          <w:szCs w:val="32"/>
        </w:rPr>
        <w:t>19.4 对发包人索赔的处理</w:t>
      </w:r>
      <w:bookmarkEnd w:id="422"/>
    </w:p>
    <w:bookmarkEnd w:id="423"/>
    <w:bookmarkEnd w:id="424"/>
    <w:bookmarkEnd w:id="425"/>
    <w:p w14:paraId="10FFE62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对发包人索赔的处理如下：</w:t>
      </w:r>
    </w:p>
    <w:p w14:paraId="5E68F2D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（1）承包人收到发包人提交的索赔报告后，应及时审查索赔报告的内容、查验发包人证明材料；</w:t>
      </w:r>
    </w:p>
    <w:p w14:paraId="414508C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（2）承包人应在收到索赔报告或有关索赔的进一步证明材料后28天内，将索赔处理结果答复发包人。如果承包人未在上述期限内作出答复的，则视为对发包人索赔要求的认可；</w:t>
      </w:r>
    </w:p>
    <w:p w14:paraId="65869A1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（3）承包人接受索赔处理结果的，发包人可从应支付给承包人的合同价款中扣除赔付的金额或延长缺陷责任期；发包人不接受索赔处理结果的，按第20条</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争议解决</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约定处理。</w:t>
      </w:r>
    </w:p>
    <w:p w14:paraId="1EAE6D37">
      <w:pPr>
        <w:pStyle w:val="6"/>
        <w:spacing w:before="120" w:after="120" w:line="360" w:lineRule="auto"/>
        <w:ind w:firstLine="600" w:firstLineChars="200"/>
        <w:rPr>
          <w:rFonts w:ascii="Times New Roman" w:hAnsi="Times New Roman" w:eastAsia="黑体"/>
          <w:b w:val="0"/>
          <w:color w:val="000000"/>
          <w:sz w:val="30"/>
          <w:szCs w:val="32"/>
        </w:rPr>
      </w:pPr>
      <w:bookmarkStart w:id="426" w:name="_Toc351203625"/>
      <w:r>
        <w:rPr>
          <w:rFonts w:ascii="Times New Roman" w:hAnsi="Times New Roman" w:eastAsia="黑体"/>
          <w:b w:val="0"/>
          <w:color w:val="000000"/>
          <w:sz w:val="30"/>
          <w:szCs w:val="32"/>
        </w:rPr>
        <w:t>19.5 提出索赔的期限</w:t>
      </w:r>
      <w:bookmarkEnd w:id="426"/>
    </w:p>
    <w:p w14:paraId="49B2A115">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（1）承包人按第14.2款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竣工结算审核</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约定接收竣工付款证书后，应被视为已无权再提出在工程接收证书颁发前所发生的任何索赔。</w:t>
      </w:r>
    </w:p>
    <w:p w14:paraId="69F55A1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（2）承包人按第14.4款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最终结清</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提交的最终结清申请单中，只限于提出工程接收证书颁发后发生的索赔。提出索赔的期限自接受最终结清证书时终止。</w:t>
      </w:r>
    </w:p>
    <w:p w14:paraId="51A27AF4">
      <w:pPr>
        <w:pStyle w:val="5"/>
        <w:spacing w:before="120" w:after="120" w:line="360" w:lineRule="auto"/>
        <w:rPr>
          <w:rFonts w:ascii="Times New Roman" w:hAnsi="Times New Roman" w:eastAsia="黑体"/>
          <w:b w:val="0"/>
          <w:color w:val="000000"/>
          <w:sz w:val="32"/>
          <w:szCs w:val="32"/>
        </w:rPr>
      </w:pPr>
      <w:bookmarkStart w:id="427" w:name="_Toc351203626"/>
      <w:r>
        <w:rPr>
          <w:rFonts w:ascii="Times New Roman" w:hAnsi="Times New Roman" w:eastAsia="黑体"/>
          <w:b w:val="0"/>
          <w:color w:val="000000"/>
          <w:sz w:val="32"/>
          <w:szCs w:val="32"/>
        </w:rPr>
        <w:t>20</w:t>
      </w:r>
      <w:bookmarkStart w:id="428" w:name="_Toc296503146"/>
      <w:bookmarkStart w:id="429" w:name="_Toc337558840"/>
      <w:bookmarkStart w:id="430" w:name="_Toc296346647"/>
      <w:r>
        <w:rPr>
          <w:rFonts w:ascii="Times New Roman" w:hAnsi="Times New Roman" w:eastAsia="黑体"/>
          <w:b w:val="0"/>
          <w:color w:val="000000"/>
          <w:sz w:val="32"/>
          <w:szCs w:val="32"/>
        </w:rPr>
        <w:t>. 争议解决</w:t>
      </w:r>
      <w:bookmarkEnd w:id="427"/>
    </w:p>
    <w:bookmarkEnd w:id="428"/>
    <w:bookmarkEnd w:id="429"/>
    <w:bookmarkEnd w:id="430"/>
    <w:p w14:paraId="41DB0858">
      <w:pPr>
        <w:pStyle w:val="6"/>
        <w:spacing w:before="120" w:after="120" w:line="360" w:lineRule="auto"/>
        <w:ind w:firstLine="600" w:firstLineChars="200"/>
        <w:rPr>
          <w:rFonts w:ascii="Times New Roman" w:hAnsi="Times New Roman" w:eastAsia="黑体"/>
          <w:b w:val="0"/>
          <w:color w:val="000000"/>
          <w:sz w:val="30"/>
          <w:szCs w:val="32"/>
        </w:rPr>
      </w:pPr>
      <w:bookmarkStart w:id="431" w:name="_Toc351203627"/>
      <w:bookmarkStart w:id="432" w:name="_Toc337558841"/>
      <w:bookmarkStart w:id="433" w:name="_Toc296346648"/>
      <w:bookmarkStart w:id="434" w:name="_Toc296503147"/>
      <w:r>
        <w:rPr>
          <w:rFonts w:ascii="Times New Roman" w:hAnsi="Times New Roman" w:eastAsia="黑体"/>
          <w:b w:val="0"/>
          <w:color w:val="000000"/>
          <w:sz w:val="30"/>
          <w:szCs w:val="32"/>
        </w:rPr>
        <w:t>20.1和解</w:t>
      </w:r>
      <w:bookmarkEnd w:id="431"/>
    </w:p>
    <w:bookmarkEnd w:id="432"/>
    <w:bookmarkEnd w:id="433"/>
    <w:bookmarkEnd w:id="434"/>
    <w:p w14:paraId="6AF3FE9E">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合同当事人可以就争议自行和解，自行和解达成协议的经双方签字并盖章后作为合同补充文件，双方均应遵照执行。</w:t>
      </w:r>
    </w:p>
    <w:p w14:paraId="295F6C87">
      <w:pPr>
        <w:pStyle w:val="6"/>
        <w:spacing w:before="120" w:after="120" w:line="360" w:lineRule="auto"/>
        <w:ind w:firstLine="600" w:firstLineChars="200"/>
        <w:rPr>
          <w:rFonts w:ascii="Times New Roman" w:hAnsi="Times New Roman" w:eastAsia="黑体"/>
          <w:b w:val="0"/>
          <w:color w:val="000000"/>
          <w:sz w:val="30"/>
          <w:szCs w:val="32"/>
        </w:rPr>
      </w:pPr>
      <w:bookmarkStart w:id="435" w:name="_Toc351203628"/>
      <w:r>
        <w:rPr>
          <w:rFonts w:ascii="Times New Roman" w:hAnsi="Times New Roman" w:eastAsia="黑体"/>
          <w:b w:val="0"/>
          <w:color w:val="000000"/>
          <w:sz w:val="30"/>
          <w:szCs w:val="32"/>
        </w:rPr>
        <w:t>20</w:t>
      </w:r>
      <w:bookmarkStart w:id="436" w:name="_Toc296346649"/>
      <w:bookmarkStart w:id="437" w:name="_Toc296503148"/>
      <w:bookmarkStart w:id="438" w:name="_Toc337558842"/>
      <w:r>
        <w:rPr>
          <w:rFonts w:ascii="Times New Roman" w:hAnsi="Times New Roman" w:eastAsia="黑体"/>
          <w:b w:val="0"/>
          <w:color w:val="000000"/>
          <w:sz w:val="30"/>
          <w:szCs w:val="32"/>
        </w:rPr>
        <w:t>.2调解</w:t>
      </w:r>
      <w:bookmarkEnd w:id="435"/>
    </w:p>
    <w:bookmarkEnd w:id="436"/>
    <w:bookmarkEnd w:id="437"/>
    <w:bookmarkEnd w:id="438"/>
    <w:p w14:paraId="38B223C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合同当事人可以就争议请求建设行政主管部门</w:t>
      </w:r>
      <w:r>
        <w:rPr>
          <w:rFonts w:hint="eastAsia" w:ascii="Times New Roman" w:hAnsi="Times New Roman" w:eastAsia="仿宋_GB2312"/>
          <w:color w:val="000000"/>
          <w:kern w:val="0"/>
          <w:sz w:val="30"/>
          <w:szCs w:val="32"/>
        </w:rPr>
        <w:t>、行业协会</w:t>
      </w:r>
      <w:r>
        <w:rPr>
          <w:rFonts w:ascii="Times New Roman" w:hAnsi="Times New Roman" w:eastAsia="仿宋_GB2312"/>
          <w:color w:val="000000"/>
          <w:kern w:val="0"/>
          <w:sz w:val="30"/>
          <w:szCs w:val="32"/>
        </w:rPr>
        <w:t>或</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rPr>
        <w:t>第三方进行调解，调解达成协议的，经双方签字并盖章后作为合同补充文件，双方均应遵照执行。</w:t>
      </w:r>
    </w:p>
    <w:p w14:paraId="7D00F4C1">
      <w:pPr>
        <w:pStyle w:val="6"/>
        <w:spacing w:before="120" w:after="120" w:line="360" w:lineRule="auto"/>
        <w:ind w:firstLine="600" w:firstLineChars="200"/>
        <w:rPr>
          <w:rFonts w:ascii="Times New Roman" w:hAnsi="Times New Roman" w:eastAsia="黑体"/>
          <w:b w:val="0"/>
          <w:color w:val="000000"/>
          <w:sz w:val="30"/>
          <w:szCs w:val="32"/>
        </w:rPr>
      </w:pPr>
      <w:bookmarkStart w:id="439" w:name="_Toc351203629"/>
      <w:bookmarkStart w:id="440" w:name="_Toc296346650"/>
      <w:bookmarkStart w:id="441" w:name="_Toc296503149"/>
      <w:bookmarkStart w:id="442" w:name="_Toc337558843"/>
      <w:r>
        <w:rPr>
          <w:rFonts w:ascii="Times New Roman" w:hAnsi="Times New Roman" w:eastAsia="黑体"/>
          <w:b w:val="0"/>
          <w:color w:val="000000"/>
          <w:sz w:val="30"/>
          <w:szCs w:val="32"/>
        </w:rPr>
        <w:t>20.3争议评审</w:t>
      </w:r>
      <w:bookmarkEnd w:id="439"/>
    </w:p>
    <w:bookmarkEnd w:id="440"/>
    <w:bookmarkEnd w:id="441"/>
    <w:bookmarkEnd w:id="442"/>
    <w:p w14:paraId="76B5ACE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合同当事人在专用合同条款中约定采取争议评审方式解决争议</w:t>
      </w:r>
      <w:r>
        <w:rPr>
          <w:rFonts w:hint="eastAsia" w:ascii="Times New Roman" w:hAnsi="Times New Roman" w:eastAsia="仿宋_GB2312"/>
          <w:color w:val="000000"/>
          <w:kern w:val="0"/>
          <w:sz w:val="30"/>
          <w:szCs w:val="32"/>
        </w:rPr>
        <w:t>以及评审规则，并</w:t>
      </w:r>
      <w:r>
        <w:rPr>
          <w:rFonts w:ascii="Times New Roman" w:hAnsi="Times New Roman" w:eastAsia="仿宋_GB2312"/>
          <w:color w:val="000000"/>
          <w:kern w:val="0"/>
          <w:sz w:val="30"/>
          <w:szCs w:val="32"/>
        </w:rPr>
        <w:t xml:space="preserve">按下列约定执行： </w:t>
      </w:r>
    </w:p>
    <w:p w14:paraId="68EE7E90">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20.3.1 争议评审小组的确定</w:t>
      </w:r>
    </w:p>
    <w:p w14:paraId="48FE1AB8">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合同当事人可以共同选择一名或三名争议评审员，组成争议评审小组。除专用合同条款另有约定外，合同当事人应当自合同签订后28天内，或者争议发生后14天内，选定争议评审员。</w:t>
      </w:r>
    </w:p>
    <w:p w14:paraId="276B876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w:t>
      </w:r>
      <w:r>
        <w:rPr>
          <w:rFonts w:hint="eastAsia" w:ascii="Times New Roman" w:hAnsi="Times New Roman" w:eastAsia="仿宋_GB2312"/>
          <w:color w:val="000000"/>
          <w:kern w:val="0"/>
          <w:sz w:val="30"/>
          <w:szCs w:val="32"/>
        </w:rPr>
        <w:t>评审</w:t>
      </w:r>
      <w:r>
        <w:rPr>
          <w:rFonts w:ascii="Times New Roman" w:hAnsi="Times New Roman" w:eastAsia="仿宋_GB2312"/>
          <w:color w:val="000000"/>
          <w:kern w:val="0"/>
          <w:sz w:val="30"/>
          <w:szCs w:val="32"/>
        </w:rPr>
        <w:t xml:space="preserve">机构指定第三名首席争议评审员。 </w:t>
      </w:r>
    </w:p>
    <w:p w14:paraId="0ADE079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除专用合同条款另有约定外，评审员报酬由发包人和承包人各承担一半。</w:t>
      </w:r>
    </w:p>
    <w:p w14:paraId="46239E2C">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15925C4B">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合同当事人可在任何时间将与合同有关的任何争议共同提请争议评审小组进行评审。争议评审小组应秉持客观、公正原则，充分听取合同当事人的意见，依据相关法律、规范、标准、案例经验及商业惯例等，自收到争议评审申请报告后14天内作出书面决定，并说明理由。合同当事人可以在专用合同条款中对本项事项另行约定。</w:t>
      </w:r>
    </w:p>
    <w:p w14:paraId="1D07939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20.3.3 争议评审小组决定的效力</w:t>
      </w:r>
    </w:p>
    <w:p w14:paraId="60BA6E5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争议评审小组作出的书面决定经合同当事人签字确认后，对双方具有约束力，双方应遵照执行。</w:t>
      </w:r>
    </w:p>
    <w:p w14:paraId="73F84F6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任何一方当事人不接受争议评审小组决定</w:t>
      </w:r>
      <w:r>
        <w:rPr>
          <w:rFonts w:hint="eastAsia" w:ascii="Times New Roman" w:hAnsi="Times New Roman" w:eastAsia="仿宋_GB2312"/>
          <w:color w:val="000000"/>
          <w:kern w:val="0"/>
          <w:sz w:val="30"/>
          <w:szCs w:val="32"/>
        </w:rPr>
        <w:t>或不履行争议评审小组决定的</w:t>
      </w:r>
      <w:r>
        <w:rPr>
          <w:rFonts w:ascii="Times New Roman" w:hAnsi="Times New Roman" w:eastAsia="仿宋_GB2312"/>
          <w:color w:val="000000"/>
          <w:kern w:val="0"/>
          <w:sz w:val="30"/>
          <w:szCs w:val="32"/>
        </w:rPr>
        <w:t>，双方可选择采用其他争议解决方式。</w:t>
      </w:r>
    </w:p>
    <w:p w14:paraId="415C5548">
      <w:pPr>
        <w:pStyle w:val="6"/>
        <w:spacing w:before="120" w:after="120" w:line="360" w:lineRule="auto"/>
        <w:ind w:firstLine="600" w:firstLineChars="200"/>
        <w:rPr>
          <w:rFonts w:ascii="Times New Roman" w:hAnsi="Times New Roman" w:eastAsia="黑体"/>
          <w:b w:val="0"/>
          <w:color w:val="000000"/>
          <w:sz w:val="30"/>
          <w:szCs w:val="32"/>
        </w:rPr>
      </w:pPr>
      <w:bookmarkStart w:id="443" w:name="_Toc351203630"/>
      <w:bookmarkStart w:id="444" w:name="_Toc296346651"/>
      <w:bookmarkStart w:id="445" w:name="_Toc337558844"/>
      <w:bookmarkStart w:id="446" w:name="_Toc296503150"/>
      <w:r>
        <w:rPr>
          <w:rFonts w:ascii="Times New Roman" w:hAnsi="Times New Roman" w:eastAsia="黑体"/>
          <w:b w:val="0"/>
          <w:color w:val="000000"/>
          <w:sz w:val="30"/>
          <w:szCs w:val="32"/>
        </w:rPr>
        <w:t>20.4仲裁或诉讼</w:t>
      </w:r>
      <w:bookmarkEnd w:id="443"/>
    </w:p>
    <w:bookmarkEnd w:id="444"/>
    <w:bookmarkEnd w:id="445"/>
    <w:bookmarkEnd w:id="446"/>
    <w:p w14:paraId="1D43349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因合同及合同有关事项产生的争议，合同当事人可以在专用合同条款中约定以下一种方式解决争议：</w:t>
      </w:r>
    </w:p>
    <w:p w14:paraId="008BEE5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（1）向约定的仲裁委员会申请仲裁；</w:t>
      </w:r>
    </w:p>
    <w:p w14:paraId="651C3704">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（2）向有管辖权的人民法院起诉。</w:t>
      </w:r>
    </w:p>
    <w:p w14:paraId="5EAAB1CD">
      <w:pPr>
        <w:pStyle w:val="6"/>
        <w:spacing w:before="120" w:after="120" w:line="360" w:lineRule="auto"/>
        <w:ind w:firstLine="600" w:firstLineChars="200"/>
        <w:rPr>
          <w:rFonts w:ascii="Times New Roman" w:hAnsi="Times New Roman" w:eastAsia="黑体"/>
          <w:b w:val="0"/>
          <w:color w:val="000000"/>
          <w:sz w:val="30"/>
          <w:szCs w:val="32"/>
        </w:rPr>
      </w:pPr>
      <w:bookmarkStart w:id="447" w:name="_Toc351203631"/>
      <w:bookmarkStart w:id="448" w:name="_Toc296503152"/>
      <w:bookmarkStart w:id="449" w:name="_Toc337558845"/>
      <w:bookmarkStart w:id="450" w:name="_Toc296346653"/>
      <w:r>
        <w:rPr>
          <w:rFonts w:ascii="Times New Roman" w:hAnsi="Times New Roman" w:eastAsia="黑体"/>
          <w:b w:val="0"/>
          <w:color w:val="000000"/>
          <w:sz w:val="30"/>
          <w:szCs w:val="32"/>
        </w:rPr>
        <w:t>20.5争议解决条款效力</w:t>
      </w:r>
      <w:bookmarkEnd w:id="447"/>
    </w:p>
    <w:bookmarkEnd w:id="448"/>
    <w:bookmarkEnd w:id="449"/>
    <w:bookmarkEnd w:id="450"/>
    <w:p w14:paraId="3A142C3F">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合同有关争议解决的条款独立存在，合同的变更、解除、终止、无效或者被撤销均不影响其效力。 </w:t>
      </w:r>
    </w:p>
    <w:p w14:paraId="570685D3">
      <w:pPr>
        <w:pStyle w:val="4"/>
        <w:jc w:val="center"/>
        <w:rPr>
          <w:rFonts w:ascii="华文中宋" w:hAnsi="华文中宋" w:eastAsia="华文中宋"/>
          <w:sz w:val="44"/>
          <w:szCs w:val="44"/>
        </w:rPr>
      </w:pPr>
      <w:bookmarkStart w:id="451" w:name="_Toc351203632"/>
      <w:r>
        <w:rPr>
          <w:rFonts w:ascii="华文中宋" w:hAnsi="华文中宋" w:eastAsia="华文中宋"/>
          <w:sz w:val="44"/>
          <w:szCs w:val="44"/>
        </w:rPr>
        <w:br w:type="page"/>
      </w:r>
      <w:r>
        <w:rPr>
          <w:rFonts w:ascii="华文中宋" w:hAnsi="华文中宋" w:eastAsia="华文中宋"/>
          <w:sz w:val="44"/>
          <w:szCs w:val="44"/>
        </w:rPr>
        <w:t xml:space="preserve">第三部分 </w:t>
      </w:r>
      <w:r>
        <w:rPr>
          <w:rFonts w:hint="eastAsia" w:ascii="华文中宋" w:hAnsi="华文中宋" w:eastAsia="华文中宋"/>
          <w:sz w:val="44"/>
          <w:szCs w:val="44"/>
        </w:rPr>
        <w:t>专用合同条款</w:t>
      </w:r>
      <w:bookmarkEnd w:id="451"/>
    </w:p>
    <w:p w14:paraId="2FEB0DBE">
      <w:pPr>
        <w:pStyle w:val="5"/>
        <w:spacing w:before="120" w:after="120" w:line="360" w:lineRule="auto"/>
        <w:rPr>
          <w:rFonts w:ascii="Times New Roman" w:hAnsi="Times New Roman" w:eastAsia="黑体"/>
          <w:b w:val="0"/>
          <w:color w:val="000000"/>
          <w:sz w:val="32"/>
          <w:szCs w:val="32"/>
        </w:rPr>
      </w:pPr>
      <w:bookmarkStart w:id="452" w:name="_Toc351203633"/>
      <w:r>
        <w:rPr>
          <w:rFonts w:ascii="Times New Roman" w:hAnsi="Times New Roman" w:eastAsia="黑体"/>
          <w:b w:val="0"/>
          <w:color w:val="000000"/>
          <w:sz w:val="32"/>
          <w:szCs w:val="32"/>
        </w:rPr>
        <w:t>1</w:t>
      </w:r>
      <w:bookmarkStart w:id="453" w:name="_Toc297048342"/>
      <w:bookmarkStart w:id="454" w:name="_Toc297120456"/>
      <w:bookmarkStart w:id="455" w:name="_Toc296890984"/>
      <w:bookmarkStart w:id="456" w:name="_Toc292559866"/>
      <w:bookmarkStart w:id="457" w:name="_Toc296944495"/>
      <w:bookmarkStart w:id="458" w:name="_Toc296503156"/>
      <w:bookmarkStart w:id="459" w:name="_Toc292559361"/>
      <w:bookmarkStart w:id="460" w:name="_Toc296891196"/>
      <w:bookmarkStart w:id="461" w:name="_Toc296347155"/>
      <w:bookmarkStart w:id="462" w:name="_Toc296346657"/>
      <w:r>
        <w:rPr>
          <w:rFonts w:ascii="Times New Roman" w:hAnsi="Times New Roman" w:eastAsia="黑体"/>
          <w:b w:val="0"/>
          <w:color w:val="000000"/>
          <w:sz w:val="32"/>
          <w:szCs w:val="32"/>
        </w:rPr>
        <w:t>. 一般约定</w:t>
      </w:r>
      <w:bookmarkEnd w:id="452"/>
    </w:p>
    <w:bookmarkEnd w:id="453"/>
    <w:bookmarkEnd w:id="454"/>
    <w:bookmarkEnd w:id="455"/>
    <w:bookmarkEnd w:id="456"/>
    <w:bookmarkEnd w:id="457"/>
    <w:bookmarkEnd w:id="458"/>
    <w:bookmarkEnd w:id="459"/>
    <w:bookmarkEnd w:id="460"/>
    <w:bookmarkEnd w:id="461"/>
    <w:bookmarkEnd w:id="462"/>
    <w:p w14:paraId="15C9E73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 词语定义</w:t>
      </w:r>
    </w:p>
    <w:p w14:paraId="542FCC57">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1.1.1合同</w:t>
      </w:r>
    </w:p>
    <w:p w14:paraId="11E7DEB0">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1.1.1.10其他合同文件包括：</w:t>
      </w:r>
      <w:r>
        <w:rPr>
          <w:rFonts w:ascii="Times New Roman" w:hAnsi="Times New Roman" w:eastAsia="仿宋_GB2312"/>
          <w:color w:val="000000"/>
          <w:sz w:val="30"/>
          <w:szCs w:val="32"/>
          <w:u w:val="single"/>
        </w:rPr>
        <w:t xml:space="preserve">                      </w:t>
      </w:r>
    </w:p>
    <w:p w14:paraId="3E9C57FB">
      <w:pPr>
        <w:spacing w:line="360" w:lineRule="auto"/>
        <w:ind w:left="1650" w:hanging="1650" w:hangingChars="55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7886EEF">
      <w:pPr>
        <w:spacing w:line="360" w:lineRule="auto"/>
        <w:ind w:left="1650" w:hanging="1650" w:hangingChars="550"/>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66D297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 合同当事人及其他相关方</w:t>
      </w:r>
    </w:p>
    <w:p w14:paraId="6408D0F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1.1.2.4监理人：</w:t>
      </w:r>
    </w:p>
    <w:p w14:paraId="058620F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43C7AFB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4CE0EB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6C452C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30F3E2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FC1D4B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1.1.2.5 设计人：</w:t>
      </w:r>
    </w:p>
    <w:p w14:paraId="182E1E8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名    称：</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799A790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资质类别和等级：</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4A35477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202B57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F99B3D">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9050CD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1.1.3 工程和设备</w:t>
      </w:r>
    </w:p>
    <w:p w14:paraId="76DFC871">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1.1.3.7 作为施工现场组成部分的其他场所包括：</w:t>
      </w:r>
      <w:r>
        <w:rPr>
          <w:rFonts w:hint="eastAsia" w:ascii="Times New Roman" w:hAnsi="Times New Roman" w:eastAsia="仿宋_GB2312"/>
          <w:color w:val="000000"/>
          <w:sz w:val="30"/>
          <w:szCs w:val="32"/>
          <w:u w:val="single"/>
        </w:rPr>
        <w:t xml:space="preserve">           </w:t>
      </w:r>
    </w:p>
    <w:p w14:paraId="11286CFE">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3C80134">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1.1.3.9 永久占地包括：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6299FC85">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1.1.3.10 临时占地包括：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654007C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 xml:space="preserve">1.3法律 </w:t>
      </w:r>
    </w:p>
    <w:p w14:paraId="04FDDF32">
      <w:pPr>
        <w:autoSpaceDE w:val="0"/>
        <w:autoSpaceDN w:val="0"/>
        <w:adjustRightInd w:val="0"/>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适用于合同的其他规范性文件：</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p>
    <w:p w14:paraId="5382DAE6">
      <w:pPr>
        <w:autoSpaceDE w:val="0"/>
        <w:autoSpaceDN w:val="0"/>
        <w:adjustRightInd w:val="0"/>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B190C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 标准和规范</w:t>
      </w:r>
    </w:p>
    <w:p w14:paraId="04EEE284">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1.4.1适用于工程的标准规范包括：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p>
    <w:p w14:paraId="612D88E8">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C13C2B6">
      <w:pPr>
        <w:spacing w:line="360" w:lineRule="auto"/>
        <w:ind w:firstLine="600" w:firstLineChars="200"/>
        <w:outlineLvl w:val="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1.4.2 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10B3BA4E">
      <w:pPr>
        <w:spacing w:line="360" w:lineRule="auto"/>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E35C9D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发包人提供国外标准、规范的份数：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B2532B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发包人提供国外标准、规范的名称：</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C215593">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1.4.3发包人对工程的技术标准和功能要求的特殊要求：</w:t>
      </w:r>
    </w:p>
    <w:p w14:paraId="4F0189F8">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492C72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 合同文件的优先顺序</w:t>
      </w:r>
    </w:p>
    <w:p w14:paraId="598FE196">
      <w:pPr>
        <w:spacing w:line="360" w:lineRule="auto"/>
        <w:ind w:firstLine="600" w:firstLineChars="20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合同文件组成及优先顺序为：</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4F3F2F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 图纸和承包人文件</w:t>
      </w:r>
      <w:r>
        <w:rPr>
          <w:rFonts w:ascii="Times New Roman" w:hAnsi="Times New Roman" w:eastAsia="黑体"/>
          <w:color w:val="000000"/>
          <w:sz w:val="30"/>
          <w:szCs w:val="32"/>
        </w:rPr>
        <w:tab/>
      </w:r>
    </w:p>
    <w:p w14:paraId="00F1C2D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1.6.1 图纸的提供</w:t>
      </w:r>
    </w:p>
    <w:p w14:paraId="549BD8A0">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发包人向承包人提供图纸的期限：</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409F52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发包人向承包人提供图纸的数量：</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189269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发包人向承包人提供图纸的内容：</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270C40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1.6.4 承包人文件</w:t>
      </w:r>
    </w:p>
    <w:p w14:paraId="7EA3074F">
      <w:pPr>
        <w:spacing w:line="360" w:lineRule="auto"/>
        <w:ind w:left="596" w:leftChars="284"/>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需要由承包人提供的文件，包括：</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65F4A2F0">
      <w:pPr>
        <w:spacing w:line="360" w:lineRule="auto"/>
        <w:ind w:left="596" w:leftChars="284"/>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37A913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承包人提供的文件的期限为：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49814E1">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承包人提供的文件的数量为：</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5AE1B0C5">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承包人提供的文件的形式为：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9652C9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w:t>
      </w:r>
      <w:r>
        <w:rPr>
          <w:rFonts w:hint="eastAsia" w:ascii="Times New Roman" w:hAnsi="Times New Roman" w:eastAsia="仿宋_GB2312"/>
          <w:color w:val="000000"/>
          <w:sz w:val="30"/>
          <w:szCs w:val="32"/>
        </w:rPr>
        <w:t>审批</w:t>
      </w:r>
      <w:r>
        <w:rPr>
          <w:rFonts w:ascii="Times New Roman" w:hAnsi="Times New Roman" w:eastAsia="仿宋_GB2312"/>
          <w:color w:val="000000"/>
          <w:sz w:val="30"/>
          <w:szCs w:val="32"/>
        </w:rPr>
        <w:t>承包人文件的期限：</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6C7EB4D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1.6.5 现场图纸准备</w:t>
      </w:r>
    </w:p>
    <w:p w14:paraId="1598097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关于现场图纸准备的约定：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A5A0ED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 联络</w:t>
      </w:r>
    </w:p>
    <w:p w14:paraId="0304BA9B">
      <w:pPr>
        <w:spacing w:line="360" w:lineRule="auto"/>
        <w:ind w:firstLine="600" w:firstLineChars="200"/>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1.7.1发包人和承包人应当在</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天内将与合同有关的通知、批准、证明、证书、指示、指令、要求、请求、同意、意见、确定和决定等书面函件送达对方当事人</w:t>
      </w:r>
      <w:r>
        <w:rPr>
          <w:rFonts w:hint="eastAsia" w:ascii="Times New Roman" w:hAnsi="Times New Roman" w:eastAsia="仿宋_GB2312"/>
          <w:color w:val="000000"/>
          <w:kern w:val="0"/>
          <w:sz w:val="30"/>
          <w:szCs w:val="32"/>
        </w:rPr>
        <w:t>。</w:t>
      </w:r>
    </w:p>
    <w:p w14:paraId="2B9C3139">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1.7.2 发包人接收文件的地点：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13D38CBC">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055EFAC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589E32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2BA61168">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监理人接收文件的地点：</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53EB59E5">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监理人指定的接收人为：</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kern w:val="0"/>
          <w:sz w:val="30"/>
          <w:szCs w:val="32"/>
        </w:rPr>
        <w:t>。</w:t>
      </w:r>
    </w:p>
    <w:p w14:paraId="7790FE6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1.10 交通运输</w:t>
      </w:r>
    </w:p>
    <w:p w14:paraId="3B7ADBBA">
      <w:pPr>
        <w:spacing w:line="360" w:lineRule="auto"/>
        <w:ind w:firstLine="600" w:firstLineChars="200"/>
        <w:outlineLvl w:val="0"/>
        <w:rPr>
          <w:rFonts w:ascii="Times New Roman" w:hAnsi="Times New Roman" w:eastAsia="仿宋_GB2312"/>
          <w:sz w:val="30"/>
          <w:szCs w:val="32"/>
        </w:rPr>
      </w:pPr>
      <w:r>
        <w:rPr>
          <w:rFonts w:ascii="Times New Roman" w:hAnsi="Times New Roman" w:eastAsia="仿宋_GB2312"/>
          <w:sz w:val="30"/>
          <w:szCs w:val="32"/>
        </w:rPr>
        <w:t>1</w:t>
      </w:r>
      <w:bookmarkStart w:id="463" w:name="_Toc318581155"/>
      <w:bookmarkStart w:id="464" w:name="_Toc300934943"/>
      <w:bookmarkStart w:id="465" w:name="_Toc304295521"/>
      <w:bookmarkStart w:id="466" w:name="_Toc303539100"/>
      <w:bookmarkStart w:id="467" w:name="_Toc312677986"/>
      <w:r>
        <w:rPr>
          <w:rFonts w:ascii="Times New Roman" w:hAnsi="Times New Roman" w:eastAsia="仿宋_GB2312"/>
          <w:sz w:val="30"/>
          <w:szCs w:val="32"/>
        </w:rPr>
        <w:t>.10.1 出入现场的权利</w:t>
      </w:r>
    </w:p>
    <w:p w14:paraId="6D51A586">
      <w:pPr>
        <w:spacing w:line="360" w:lineRule="auto"/>
        <w:ind w:left="596" w:leftChars="284"/>
        <w:rPr>
          <w:rFonts w:hint="eastAsia" w:ascii="Times New Roman" w:hAnsi="Times New Roman" w:eastAsia="仿宋_GB2312"/>
          <w:color w:val="000000"/>
          <w:sz w:val="30"/>
          <w:szCs w:val="32"/>
          <w:u w:val="single"/>
        </w:rPr>
      </w:pPr>
      <w:r>
        <w:rPr>
          <w:rFonts w:ascii="Times New Roman" w:hAnsi="Times New Roman" w:eastAsia="仿宋_GB2312"/>
          <w:sz w:val="30"/>
          <w:szCs w:val="32"/>
        </w:rPr>
        <w:t>关于出入现场的权利的约定：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p>
    <w:p w14:paraId="6A00AA0A">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bookmarkEnd w:id="463"/>
    <w:bookmarkEnd w:id="464"/>
    <w:bookmarkEnd w:id="465"/>
    <w:bookmarkEnd w:id="466"/>
    <w:bookmarkEnd w:id="467"/>
    <w:p w14:paraId="41A53C55">
      <w:pPr>
        <w:spacing w:line="360" w:lineRule="auto"/>
        <w:ind w:firstLine="600" w:firstLineChars="200"/>
        <w:jc w:val="left"/>
        <w:outlineLvl w:val="0"/>
        <w:rPr>
          <w:rFonts w:ascii="Times New Roman" w:hAnsi="Times New Roman" w:eastAsia="仿宋_GB2312"/>
          <w:sz w:val="30"/>
          <w:szCs w:val="32"/>
        </w:rPr>
      </w:pPr>
      <w:r>
        <w:rPr>
          <w:rFonts w:ascii="Times New Roman" w:hAnsi="Times New Roman" w:eastAsia="仿宋_GB2312"/>
          <w:sz w:val="30"/>
          <w:szCs w:val="32"/>
        </w:rPr>
        <w:t>1</w:t>
      </w:r>
      <w:bookmarkStart w:id="468" w:name="_Toc303539101"/>
      <w:bookmarkStart w:id="469" w:name="_Toc304295522"/>
      <w:bookmarkStart w:id="470" w:name="_Toc318581156"/>
      <w:bookmarkStart w:id="471" w:name="_Toc312677987"/>
      <w:bookmarkStart w:id="472" w:name="_Toc300934944"/>
      <w:r>
        <w:rPr>
          <w:rFonts w:ascii="Times New Roman" w:hAnsi="Times New Roman" w:eastAsia="仿宋_GB2312"/>
          <w:sz w:val="30"/>
          <w:szCs w:val="32"/>
        </w:rPr>
        <w:t>.10.3 场内交通</w:t>
      </w:r>
    </w:p>
    <w:p w14:paraId="0506C09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关于场外交通和场内交通的边界的约定：</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p>
    <w:p w14:paraId="5037A81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关于发包人向承包人免费提供满足工程施工需要的场内道路和交通设施的约定：</w:t>
      </w: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sz w:val="30"/>
          <w:szCs w:val="32"/>
        </w:rPr>
        <w:t>。</w:t>
      </w:r>
      <w:bookmarkEnd w:id="468"/>
      <w:bookmarkEnd w:id="469"/>
      <w:bookmarkEnd w:id="470"/>
      <w:bookmarkEnd w:id="471"/>
      <w:bookmarkEnd w:id="472"/>
      <w:r>
        <w:rPr>
          <w:rFonts w:ascii="Times New Roman" w:hAnsi="Times New Roman" w:eastAsia="仿宋_GB2312"/>
          <w:sz w:val="30"/>
          <w:szCs w:val="32"/>
        </w:rPr>
        <w:t xml:space="preserve">  </w:t>
      </w:r>
      <w:bookmarkStart w:id="473" w:name="_Toc318581157"/>
    </w:p>
    <w:p w14:paraId="5F3A7FC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1.10.4超大件和超重件的运输</w:t>
      </w:r>
    </w:p>
    <w:p w14:paraId="1D92CC3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运输超大件或超重件所需的道路和桥梁临时加固改造费用和其他有关费用由</w:t>
      </w:r>
      <w:r>
        <w:rPr>
          <w:rFonts w:ascii="Times New Roman" w:hAnsi="Times New Roman" w:eastAsia="仿宋_GB2312"/>
          <w:sz w:val="30"/>
          <w:szCs w:val="32"/>
          <w:u w:val="single"/>
        </w:rPr>
        <w:t xml:space="preserve">              </w:t>
      </w:r>
      <w:r>
        <w:rPr>
          <w:rFonts w:ascii="Times New Roman" w:hAnsi="Times New Roman" w:eastAsia="仿宋_GB2312"/>
          <w:sz w:val="30"/>
          <w:szCs w:val="32"/>
        </w:rPr>
        <w:t>承担。</w:t>
      </w:r>
    </w:p>
    <w:bookmarkEnd w:id="473"/>
    <w:p w14:paraId="3F5D2AB9">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1.11 知识产权</w:t>
      </w:r>
    </w:p>
    <w:p w14:paraId="1FE0830E">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1.11.1关于发包人提供给承包人的图纸、发包人为实施工程自行编制或委托编制的技术规范以及反映发包人关于合同要求或其他类似性质的文件的著作权的归属：</w:t>
      </w:r>
      <w:r>
        <w:rPr>
          <w:rFonts w:ascii="Times New Roman" w:hAnsi="Times New Roman" w:eastAsia="仿宋_GB2312"/>
          <w:color w:val="000000"/>
          <w:sz w:val="30"/>
          <w:szCs w:val="32"/>
          <w:u w:val="single"/>
        </w:rPr>
        <w:t>                     </w:t>
      </w:r>
    </w:p>
    <w:p w14:paraId="3525AEFB">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202C5D3">
      <w:pPr>
        <w:spacing w:line="360" w:lineRule="auto"/>
        <w:ind w:left="596" w:leftChars="284"/>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关于发包人提供的上述文件的使用限制的要求：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BFD03B3">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752270C">
      <w:pPr>
        <w:spacing w:line="360" w:lineRule="auto"/>
        <w:ind w:left="596" w:leftChars="284"/>
        <w:outlineLvl w:val="0"/>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1.11.2 关于承包人为实施工程所编制文件的著作权的归属：</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332D13BA">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1910C4A">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关于承包人提供的上述文件的使用限制的要求：</w:t>
      </w:r>
      <w:r>
        <w:rPr>
          <w:rFonts w:ascii="Times New Roman" w:hAnsi="Times New Roman" w:eastAsia="仿宋_GB2312"/>
          <w:color w:val="000000"/>
          <w:sz w:val="30"/>
          <w:szCs w:val="32"/>
          <w:u w:val="single"/>
        </w:rPr>
        <w:t>   </w:t>
      </w:r>
    </w:p>
    <w:p w14:paraId="1CF38363">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FE860A">
      <w:pPr>
        <w:spacing w:line="360" w:lineRule="auto"/>
        <w:ind w:firstLine="600" w:firstLineChars="200"/>
        <w:outlineLvl w:val="0"/>
        <w:rPr>
          <w:rFonts w:ascii="Times New Roman" w:hAnsi="Times New Roman" w:eastAsia="仿宋_GB2312"/>
          <w:color w:val="000000"/>
          <w:kern w:val="0"/>
          <w:sz w:val="30"/>
          <w:szCs w:val="32"/>
        </w:rPr>
      </w:pPr>
      <w:r>
        <w:rPr>
          <w:rFonts w:ascii="Times New Roman" w:hAnsi="Times New Roman" w:eastAsia="仿宋_GB2312"/>
          <w:color w:val="000000"/>
          <w:sz w:val="30"/>
          <w:szCs w:val="32"/>
        </w:rPr>
        <w:t>1.11.4 承包人在施工过程中所采用的专利、专有技术、技术秘密的使用费的承担方式：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126823D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1.13工程量清单错误的修正</w:t>
      </w:r>
    </w:p>
    <w:p w14:paraId="447FDA35">
      <w:pPr>
        <w:spacing w:line="360" w:lineRule="auto"/>
        <w:ind w:firstLine="600" w:firstLineChars="200"/>
        <w:rPr>
          <w:rFonts w:ascii="Times New Roman" w:hAnsi="Times New Roman" w:eastAsia="仿宋_GB2312"/>
          <w:color w:val="000000"/>
          <w:sz w:val="30"/>
          <w:szCs w:val="32"/>
        </w:rPr>
      </w:pPr>
      <w:r>
        <w:rPr>
          <w:rFonts w:hint="eastAsia" w:ascii="Times New Roman" w:hAnsi="Times New Roman" w:eastAsia="仿宋_GB2312"/>
          <w:color w:val="000000"/>
          <w:sz w:val="30"/>
          <w:szCs w:val="32"/>
        </w:rPr>
        <w:t>出现工程量清单错误时，是否调整合同价格：</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61DB3271">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允许调整合同价格的工程量偏差范围：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D6726EB">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kern w:val="0"/>
          <w:sz w:val="30"/>
          <w:szCs w:val="32"/>
        </w:rPr>
        <w:t>。</w:t>
      </w:r>
    </w:p>
    <w:p w14:paraId="10F8FD7B">
      <w:pPr>
        <w:pStyle w:val="5"/>
        <w:spacing w:before="120" w:after="120" w:line="360" w:lineRule="auto"/>
        <w:rPr>
          <w:rFonts w:ascii="Times New Roman" w:hAnsi="Times New Roman" w:eastAsia="黑体"/>
          <w:b w:val="0"/>
          <w:color w:val="000000"/>
          <w:sz w:val="32"/>
          <w:szCs w:val="32"/>
        </w:rPr>
      </w:pPr>
      <w:bookmarkStart w:id="474" w:name="_Toc351203634"/>
      <w:r>
        <w:rPr>
          <w:rFonts w:ascii="Times New Roman" w:hAnsi="Times New Roman" w:eastAsia="黑体"/>
          <w:b w:val="0"/>
          <w:color w:val="000000"/>
          <w:sz w:val="32"/>
          <w:szCs w:val="32"/>
        </w:rPr>
        <w:t>2</w:t>
      </w:r>
      <w:bookmarkStart w:id="475" w:name="_Toc296891197"/>
      <w:bookmarkStart w:id="476" w:name="_Toc292559362"/>
      <w:bookmarkStart w:id="477" w:name="_Toc296944496"/>
      <w:bookmarkStart w:id="478" w:name="_Toc292559867"/>
      <w:bookmarkStart w:id="479" w:name="_Toc296346658"/>
      <w:bookmarkStart w:id="480" w:name="_Toc296347156"/>
      <w:bookmarkStart w:id="481" w:name="_Toc296503157"/>
      <w:bookmarkStart w:id="482" w:name="_Toc296890985"/>
      <w:bookmarkStart w:id="483" w:name="_Toc297048343"/>
      <w:bookmarkStart w:id="484" w:name="_Toc297120457"/>
      <w:r>
        <w:rPr>
          <w:rFonts w:ascii="Times New Roman" w:hAnsi="Times New Roman" w:eastAsia="黑体"/>
          <w:b w:val="0"/>
          <w:color w:val="000000"/>
          <w:sz w:val="32"/>
          <w:szCs w:val="32"/>
        </w:rPr>
        <w:t>. 发包人</w:t>
      </w:r>
      <w:bookmarkEnd w:id="474"/>
    </w:p>
    <w:bookmarkEnd w:id="475"/>
    <w:bookmarkEnd w:id="476"/>
    <w:bookmarkEnd w:id="477"/>
    <w:bookmarkEnd w:id="478"/>
    <w:bookmarkEnd w:id="479"/>
    <w:bookmarkEnd w:id="480"/>
    <w:bookmarkEnd w:id="481"/>
    <w:bookmarkEnd w:id="482"/>
    <w:bookmarkEnd w:id="483"/>
    <w:bookmarkEnd w:id="484"/>
    <w:p w14:paraId="5C8491E6">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2.2 发包人代表</w:t>
      </w:r>
    </w:p>
    <w:p w14:paraId="6595DE5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发包人代表：</w:t>
      </w:r>
    </w:p>
    <w:p w14:paraId="6A8BA65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1C53AAA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EBF14F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2840AA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43B1FBA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3A6BE5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57B3DE12">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发包人对发包人代表的授权范围如下：</w:t>
      </w:r>
      <w:r>
        <w:rPr>
          <w:rFonts w:ascii="Times New Roman" w:hAnsi="Times New Roman" w:eastAsia="仿宋_GB2312"/>
          <w:color w:val="000000"/>
          <w:sz w:val="30"/>
          <w:szCs w:val="32"/>
          <w:u w:val="single"/>
        </w:rPr>
        <w:t>     </w:t>
      </w:r>
    </w:p>
    <w:p w14:paraId="23A12735">
      <w:pPr>
        <w:spacing w:line="360" w:lineRule="auto"/>
        <w:rPr>
          <w:rFonts w:ascii="Times New Roman" w:hAnsi="Times New Roman" w:eastAsia="仿宋_GB2312"/>
          <w:b/>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C0C81BF">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2.4 施工现场、施工条件和基础资料的提供</w:t>
      </w:r>
    </w:p>
    <w:p w14:paraId="64B18E6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2.4.1 提供施工现场</w:t>
      </w:r>
    </w:p>
    <w:p w14:paraId="6D09F71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关于发包人移交施工现场的期限要求：</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78F97467">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2.4.2 提供施工条件</w:t>
      </w:r>
    </w:p>
    <w:p w14:paraId="1DEA5685">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关于发包人应负责提供施工</w:t>
      </w:r>
      <w:r>
        <w:rPr>
          <w:rFonts w:hint="eastAsia" w:ascii="Times New Roman" w:hAnsi="Times New Roman" w:eastAsia="仿宋_GB2312"/>
          <w:color w:val="000000"/>
          <w:sz w:val="30"/>
          <w:szCs w:val="32"/>
        </w:rPr>
        <w:t>所需要的条件，</w:t>
      </w:r>
      <w:r>
        <w:rPr>
          <w:rFonts w:ascii="Times New Roman" w:hAnsi="Times New Roman" w:eastAsia="仿宋_GB2312"/>
          <w:color w:val="000000"/>
          <w:sz w:val="30"/>
          <w:szCs w:val="32"/>
        </w:rPr>
        <w:t>包括：</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295518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2.5 资金来源证明及支付担保</w:t>
      </w:r>
    </w:p>
    <w:p w14:paraId="6AA5735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发包人提供资金来源证明的期限要求：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3A0774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发包人是否提供支付担保：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4ED68191">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发包人提供支付担保的形式：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AC90272">
      <w:pPr>
        <w:pStyle w:val="5"/>
        <w:spacing w:before="120" w:after="120" w:line="360" w:lineRule="auto"/>
        <w:rPr>
          <w:rFonts w:ascii="Times New Roman" w:hAnsi="Times New Roman" w:eastAsia="黑体"/>
          <w:b w:val="0"/>
          <w:color w:val="000000"/>
          <w:sz w:val="32"/>
          <w:szCs w:val="32"/>
        </w:rPr>
      </w:pPr>
      <w:bookmarkStart w:id="485" w:name="_Toc351203635"/>
      <w:r>
        <w:rPr>
          <w:rFonts w:ascii="Times New Roman" w:hAnsi="Times New Roman" w:eastAsia="黑体"/>
          <w:b w:val="0"/>
          <w:color w:val="000000"/>
          <w:sz w:val="32"/>
          <w:szCs w:val="32"/>
        </w:rPr>
        <w:t>3</w:t>
      </w:r>
      <w:bookmarkStart w:id="486" w:name="_Toc296503158"/>
      <w:bookmarkStart w:id="487" w:name="_Toc296891198"/>
      <w:bookmarkStart w:id="488" w:name="_Toc297120458"/>
      <w:bookmarkStart w:id="489" w:name="_Toc292559363"/>
      <w:bookmarkStart w:id="490" w:name="_Toc296346659"/>
      <w:bookmarkStart w:id="491" w:name="_Toc297048344"/>
      <w:bookmarkStart w:id="492" w:name="_Toc296890986"/>
      <w:bookmarkStart w:id="493" w:name="_Toc292559868"/>
      <w:bookmarkStart w:id="494" w:name="_Toc296944497"/>
      <w:bookmarkStart w:id="495" w:name="_Toc296347157"/>
      <w:r>
        <w:rPr>
          <w:rFonts w:ascii="Times New Roman" w:hAnsi="Times New Roman" w:eastAsia="黑体"/>
          <w:b w:val="0"/>
          <w:color w:val="000000"/>
          <w:sz w:val="32"/>
          <w:szCs w:val="32"/>
        </w:rPr>
        <w:t>. 承包人</w:t>
      </w:r>
      <w:bookmarkEnd w:id="485"/>
    </w:p>
    <w:bookmarkEnd w:id="486"/>
    <w:bookmarkEnd w:id="487"/>
    <w:bookmarkEnd w:id="488"/>
    <w:bookmarkEnd w:id="489"/>
    <w:bookmarkEnd w:id="490"/>
    <w:bookmarkEnd w:id="491"/>
    <w:bookmarkEnd w:id="492"/>
    <w:bookmarkEnd w:id="493"/>
    <w:bookmarkEnd w:id="494"/>
    <w:bookmarkEnd w:id="495"/>
    <w:p w14:paraId="2C160FC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3.1 承包人的一般义务</w:t>
      </w:r>
    </w:p>
    <w:p w14:paraId="1E6F3EE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9</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承包人提交的竣工资料的内容：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041DCB7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3D9A77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承包人需要提交的竣工资料套数：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9B17218">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承包人提交的竣工资料的费用承担：</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A6D40D">
      <w:pPr>
        <w:spacing w:line="360" w:lineRule="auto"/>
        <w:ind w:left="638" w:leftChars="304"/>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承包人提交的竣工资料移交时间：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A18CB96">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承包人提交的竣工资料形式要求：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227A0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w:t>
      </w:r>
      <w:r>
        <w:rPr>
          <w:rFonts w:hint="eastAsia" w:ascii="Times New Roman" w:hAnsi="Times New Roman" w:eastAsia="仿宋_GB2312"/>
          <w:color w:val="000000"/>
          <w:kern w:val="0"/>
          <w:sz w:val="30"/>
          <w:szCs w:val="32"/>
        </w:rPr>
        <w:t>10</w:t>
      </w:r>
      <w:r>
        <w:rPr>
          <w:rFonts w:ascii="Times New Roman" w:hAnsi="Times New Roman" w:eastAsia="仿宋_GB2312"/>
          <w:color w:val="000000"/>
          <w:kern w:val="0"/>
          <w:sz w:val="30"/>
          <w:szCs w:val="32"/>
        </w:rPr>
        <w:t>）承包人应履行的其他义务：</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D4DB85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3.2 项目经理</w:t>
      </w:r>
    </w:p>
    <w:p w14:paraId="2A076AA3">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kern w:val="0"/>
          <w:sz w:val="30"/>
          <w:szCs w:val="32"/>
        </w:rPr>
        <w:t xml:space="preserve">3.2.1 </w:t>
      </w:r>
      <w:r>
        <w:rPr>
          <w:rFonts w:ascii="Times New Roman" w:hAnsi="Times New Roman" w:eastAsia="仿宋_GB2312"/>
          <w:color w:val="000000"/>
          <w:sz w:val="30"/>
          <w:szCs w:val="32"/>
        </w:rPr>
        <w:t>项目经理：</w:t>
      </w:r>
    </w:p>
    <w:p w14:paraId="79966ACF">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EBCD30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身份证号：</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8FD420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建造师执业资格等级：</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E2A1A6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建造师注册证书号：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C882F2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建造师执业印章号：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C6E70F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安全生产考核合格证书号：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640989A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204B327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5F2B565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31C4E0E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承包人对项目经理的授权范围如下：</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F7A5BD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关于项目经理每月在施工现场的时间要求：</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1751FD34">
      <w:pPr>
        <w:spacing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承包人未提交劳动合同，以及没有为项目经理缴纳社会保险证明的违约责任：</w:t>
      </w:r>
      <w:r>
        <w:rPr>
          <w:rFonts w:ascii="Times New Roman" w:hAnsi="Times New Roman" w:eastAsia="仿宋_GB2312"/>
          <w:color w:val="000000"/>
          <w:sz w:val="30"/>
          <w:szCs w:val="32"/>
          <w:u w:val="single"/>
        </w:rPr>
        <w:t xml:space="preserve">          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7770FF3F">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项目经理未经批准，擅自离开施工现场的违约责任：</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w:t>
      </w:r>
      <w:r>
        <w:rPr>
          <w:rFonts w:ascii="Times New Roman" w:hAnsi="Times New Roman" w:eastAsia="仿宋_GB2312"/>
          <w:color w:val="000000"/>
          <w:sz w:val="30"/>
          <w:szCs w:val="32"/>
        </w:rPr>
        <w:t>。</w:t>
      </w:r>
    </w:p>
    <w:p w14:paraId="3101CB1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3.2.3 承包人擅自更换项目经理的违约责任：</w:t>
      </w:r>
      <w:r>
        <w:rPr>
          <w:rFonts w:ascii="Times New Roman" w:hAnsi="Times New Roman" w:eastAsia="仿宋_GB2312"/>
          <w:color w:val="000000"/>
          <w:sz w:val="30"/>
          <w:szCs w:val="32"/>
          <w:u w:val="single"/>
        </w:rPr>
        <w:t xml:space="preserve">              </w:t>
      </w:r>
    </w:p>
    <w:p w14:paraId="2BD921D2">
      <w:pPr>
        <w:spacing w:line="360" w:lineRule="auto"/>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A575460">
      <w:pPr>
        <w:spacing w:line="360" w:lineRule="auto"/>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    3.2.4 承包人无正当理由拒绝更换项目经理的违约责任：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1CC7F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3.3 承包人人员</w:t>
      </w:r>
    </w:p>
    <w:p w14:paraId="1CA804A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3.3.1 承包人提交项目管理机构及施工现场管理人员安排报告的期限：</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   </w:t>
      </w:r>
      <w:r>
        <w:rPr>
          <w:rFonts w:ascii="Times New Roman" w:hAnsi="Times New Roman" w:eastAsia="仿宋_GB2312"/>
          <w:color w:val="000000"/>
          <w:sz w:val="30"/>
          <w:szCs w:val="32"/>
        </w:rPr>
        <w:t>。</w:t>
      </w:r>
    </w:p>
    <w:p w14:paraId="6469EF5D">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3.3.3 承包人无正当理由拒绝撤换主要施工管理人员的违约责任：</w:t>
      </w:r>
      <w:r>
        <w:rPr>
          <w:rFonts w:ascii="Times New Roman" w:hAnsi="Times New Roman" w:eastAsia="仿宋_GB2312"/>
          <w:color w:val="000000"/>
          <w:sz w:val="30"/>
          <w:szCs w:val="32"/>
          <w:u w:val="single"/>
        </w:rPr>
        <w:t xml:space="preserve">  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E9B74E3">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3.3.4 承包人主要施工管理人员离开施工现场的批准要求：   </w:t>
      </w:r>
      <w:r>
        <w:rPr>
          <w:rFonts w:ascii="Times New Roman" w:hAnsi="Times New Roman" w:eastAsia="仿宋_GB2312"/>
          <w:color w:val="000000"/>
          <w:sz w:val="30"/>
          <w:szCs w:val="32"/>
          <w:u w:val="single"/>
        </w:rPr>
        <w:t></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A35FA7B">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3.3.5承包人擅自更换主要施工管理人员的违约责任：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E8F0D3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承包人主要施工管理人员擅自离开施工现场的违约责任：</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C8AAEF6">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w:t>
      </w:r>
      <w:bookmarkStart w:id="496" w:name="_Toc297120459"/>
      <w:bookmarkStart w:id="497" w:name="_Toc292559364"/>
      <w:bookmarkStart w:id="498" w:name="_Toc296346660"/>
      <w:bookmarkStart w:id="499" w:name="_Toc296890987"/>
      <w:bookmarkStart w:id="500" w:name="_Toc297123492"/>
      <w:bookmarkStart w:id="501" w:name="_Toc296503159"/>
      <w:bookmarkStart w:id="502" w:name="_Toc292559869"/>
      <w:bookmarkStart w:id="503" w:name="_Toc296944498"/>
      <w:bookmarkStart w:id="504" w:name="_Toc297048345"/>
      <w:bookmarkStart w:id="505" w:name="_Toc296347158"/>
      <w:bookmarkStart w:id="506" w:name="_Toc296891199"/>
      <w:bookmarkStart w:id="507" w:name="_Toc304295523"/>
      <w:bookmarkStart w:id="508" w:name="_Toc312677988"/>
      <w:bookmarkStart w:id="509" w:name="_Toc303539102"/>
      <w:bookmarkStart w:id="510" w:name="_Toc297216151"/>
      <w:bookmarkStart w:id="511" w:name="_Toc300934945"/>
      <w:r>
        <w:rPr>
          <w:rFonts w:ascii="Times New Roman" w:hAnsi="Times New Roman" w:eastAsia="黑体"/>
          <w:color w:val="000000"/>
          <w:sz w:val="30"/>
          <w:szCs w:val="32"/>
        </w:rPr>
        <w:t>.5 分包</w:t>
      </w:r>
    </w:p>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p w14:paraId="3FF40B25">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w:t>
      </w:r>
      <w:bookmarkStart w:id="512" w:name="_Toc303539103"/>
      <w:bookmarkStart w:id="513" w:name="_Toc296347159"/>
      <w:bookmarkStart w:id="514" w:name="_Toc292559870"/>
      <w:bookmarkStart w:id="515" w:name="_Toc297048346"/>
      <w:bookmarkStart w:id="516" w:name="_Toc304295524"/>
      <w:bookmarkStart w:id="517" w:name="_Toc296346661"/>
      <w:bookmarkStart w:id="518" w:name="_Toc297120460"/>
      <w:bookmarkStart w:id="519" w:name="_Toc297216152"/>
      <w:bookmarkStart w:id="520" w:name="_Toc296944499"/>
      <w:bookmarkStart w:id="521" w:name="_Toc297123493"/>
      <w:bookmarkStart w:id="522" w:name="_Toc296890988"/>
      <w:bookmarkStart w:id="523" w:name="_Toc300934946"/>
      <w:bookmarkStart w:id="524" w:name="_Toc292559365"/>
      <w:bookmarkStart w:id="525" w:name="_Toc296891200"/>
      <w:bookmarkStart w:id="526" w:name="_Toc296503160"/>
      <w:bookmarkStart w:id="527" w:name="_Toc312677989"/>
      <w:bookmarkStart w:id="528" w:name="_Toc318581158"/>
      <w:r>
        <w:rPr>
          <w:rFonts w:ascii="Times New Roman" w:hAnsi="Times New Roman" w:eastAsia="仿宋_GB2312"/>
          <w:sz w:val="30"/>
          <w:szCs w:val="32"/>
        </w:rPr>
        <w:t>.5.1 分包的一般约定</w:t>
      </w:r>
    </w:p>
    <w:p w14:paraId="60A4C69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禁止分包的工程包括：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147405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sz w:val="30"/>
          <w:szCs w:val="32"/>
        </w:rPr>
        <w:t>主体结构、关键性工作的范围：</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04529926">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Start w:id="529" w:name="_Toc296503161"/>
      <w:bookmarkStart w:id="530" w:name="_Toc297216153"/>
      <w:bookmarkStart w:id="531" w:name="_Toc297120461"/>
      <w:bookmarkStart w:id="532" w:name="_Toc300934947"/>
      <w:bookmarkStart w:id="533" w:name="_Toc296890989"/>
      <w:bookmarkStart w:id="534" w:name="_Toc296891201"/>
      <w:bookmarkStart w:id="535" w:name="_Toc297123494"/>
      <w:bookmarkStart w:id="536" w:name="_Toc297048347"/>
      <w:bookmarkStart w:id="537" w:name="_Toc303539104"/>
      <w:bookmarkStart w:id="538" w:name="_Toc304295525"/>
      <w:bookmarkStart w:id="539" w:name="_Toc296346662"/>
      <w:bookmarkStart w:id="540" w:name="_Toc296944500"/>
      <w:bookmarkStart w:id="541" w:name="_Toc296347160"/>
    </w:p>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p w14:paraId="4AC94DAB">
      <w:pPr>
        <w:spacing w:line="360" w:lineRule="auto"/>
        <w:rPr>
          <w:rFonts w:ascii="Times New Roman" w:hAnsi="Times New Roman" w:eastAsia="仿宋_GB2312"/>
          <w:sz w:val="30"/>
          <w:szCs w:val="32"/>
        </w:rPr>
      </w:pPr>
      <w:r>
        <w:rPr>
          <w:rFonts w:ascii="Times New Roman" w:hAnsi="Times New Roman" w:eastAsia="仿宋_GB2312"/>
          <w:sz w:val="30"/>
          <w:szCs w:val="32"/>
        </w:rPr>
        <w:t xml:space="preserve">    3</w:t>
      </w:r>
      <w:bookmarkStart w:id="542" w:name="_Toc318581159"/>
      <w:bookmarkStart w:id="543" w:name="_Toc312677990"/>
      <w:r>
        <w:rPr>
          <w:rFonts w:ascii="Times New Roman" w:hAnsi="Times New Roman" w:eastAsia="仿宋_GB2312"/>
          <w:sz w:val="30"/>
          <w:szCs w:val="32"/>
        </w:rPr>
        <w:t>.5.2分包的确定</w:t>
      </w:r>
    </w:p>
    <w:p w14:paraId="0112560F">
      <w:pPr>
        <w:spacing w:line="360" w:lineRule="auto"/>
        <w:ind w:firstLine="600" w:firstLineChars="200"/>
        <w:rPr>
          <w:rFonts w:ascii="Times New Roman" w:hAnsi="Times New Roman" w:eastAsia="仿宋_GB2312"/>
          <w:color w:val="000000"/>
          <w:sz w:val="30"/>
          <w:szCs w:val="32"/>
          <w:u w:val="single"/>
        </w:rPr>
      </w:pPr>
      <w:r>
        <w:rPr>
          <w:rFonts w:ascii="Times New Roman" w:hAnsi="Times New Roman" w:eastAsia="仿宋_GB2312"/>
          <w:sz w:val="30"/>
          <w:szCs w:val="32"/>
        </w:rPr>
        <w:t>允许分包的专业工程包括：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EC01CF9">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其他关于分包的约定：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60BE05E">
      <w:pPr>
        <w:spacing w:line="360" w:lineRule="auto"/>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BF9F843">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3.5.4 分包合同价款</w:t>
      </w:r>
    </w:p>
    <w:p w14:paraId="618B770F">
      <w:pPr>
        <w:spacing w:line="360" w:lineRule="auto"/>
        <w:ind w:firstLine="600" w:firstLineChars="200"/>
        <w:rPr>
          <w:rFonts w:ascii="Times New Roman" w:hAnsi="Times New Roman" w:eastAsia="仿宋_GB2312"/>
          <w:sz w:val="30"/>
          <w:szCs w:val="32"/>
        </w:rPr>
      </w:pPr>
      <w:r>
        <w:rPr>
          <w:rFonts w:ascii="Times New Roman" w:hAnsi="Times New Roman" w:eastAsia="仿宋_GB2312"/>
          <w:sz w:val="30"/>
          <w:szCs w:val="32"/>
        </w:rPr>
        <w:t>关于分包合同价款支付的约定：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542"/>
    <w:bookmarkEnd w:id="543"/>
    <w:p w14:paraId="7D6D3E1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3.6 工程照管与成品、半成品保护</w:t>
      </w:r>
    </w:p>
    <w:p w14:paraId="065579EE">
      <w:pPr>
        <w:spacing w:before="120" w:after="120" w:line="360" w:lineRule="auto"/>
        <w:ind w:firstLine="600" w:firstLineChars="200"/>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承包人负责照管工程及工程相关的材料、工程设备的起始时间：</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D99E03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3.7 履约担保</w:t>
      </w:r>
    </w:p>
    <w:p w14:paraId="09D28C07">
      <w:pPr>
        <w:spacing w:line="360" w:lineRule="auto"/>
        <w:ind w:firstLine="600" w:firstLineChars="200"/>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承包人是否提供履约担保：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32867D2">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承包人提供履约担保的形式</w:t>
      </w:r>
      <w:r>
        <w:rPr>
          <w:rFonts w:hint="eastAsia" w:ascii="Times New Roman" w:hAnsi="Times New Roman" w:eastAsia="仿宋_GB2312"/>
          <w:color w:val="000000"/>
          <w:sz w:val="30"/>
          <w:szCs w:val="32"/>
        </w:rPr>
        <w:t>、金额及期限的</w:t>
      </w:r>
      <w:r>
        <w:rPr>
          <w:rFonts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p>
    <w:p w14:paraId="05026C0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8CF1C0">
      <w:pPr>
        <w:pStyle w:val="5"/>
        <w:spacing w:before="120" w:after="120" w:line="360" w:lineRule="auto"/>
        <w:rPr>
          <w:rFonts w:ascii="Times New Roman" w:hAnsi="Times New Roman" w:eastAsia="黑体"/>
          <w:b w:val="0"/>
          <w:color w:val="000000"/>
          <w:sz w:val="32"/>
          <w:szCs w:val="32"/>
        </w:rPr>
      </w:pPr>
      <w:bookmarkStart w:id="544" w:name="_Toc351203636"/>
      <w:r>
        <w:rPr>
          <w:rFonts w:ascii="Times New Roman" w:hAnsi="Times New Roman" w:eastAsia="黑体"/>
          <w:b w:val="0"/>
          <w:color w:val="000000"/>
          <w:sz w:val="32"/>
          <w:szCs w:val="32"/>
        </w:rPr>
        <w:t>4</w:t>
      </w:r>
      <w:bookmarkStart w:id="545" w:name="_Toc296890990"/>
      <w:bookmarkStart w:id="546" w:name="_Toc296944501"/>
      <w:bookmarkStart w:id="547" w:name="_Toc297120462"/>
      <w:bookmarkStart w:id="548" w:name="_Toc296347161"/>
      <w:bookmarkStart w:id="549" w:name="_Toc296346663"/>
      <w:bookmarkStart w:id="550" w:name="_Toc296891202"/>
      <w:bookmarkStart w:id="551" w:name="_Toc296503162"/>
      <w:bookmarkStart w:id="552" w:name="_Toc267251413"/>
      <w:bookmarkStart w:id="553" w:name="_Toc297048348"/>
      <w:bookmarkStart w:id="554" w:name="_Toc292559366"/>
      <w:bookmarkStart w:id="555" w:name="_Toc292559871"/>
      <w:r>
        <w:rPr>
          <w:rFonts w:ascii="Times New Roman" w:hAnsi="Times New Roman" w:eastAsia="黑体"/>
          <w:b w:val="0"/>
          <w:color w:val="000000"/>
          <w:sz w:val="32"/>
          <w:szCs w:val="32"/>
        </w:rPr>
        <w:t>. 监</w:t>
      </w:r>
      <w:bookmarkEnd w:id="545"/>
      <w:bookmarkEnd w:id="546"/>
      <w:bookmarkEnd w:id="547"/>
      <w:bookmarkEnd w:id="548"/>
      <w:bookmarkEnd w:id="549"/>
      <w:bookmarkEnd w:id="550"/>
      <w:bookmarkEnd w:id="551"/>
      <w:bookmarkEnd w:id="552"/>
      <w:bookmarkEnd w:id="553"/>
      <w:bookmarkEnd w:id="554"/>
      <w:bookmarkEnd w:id="555"/>
      <w:r>
        <w:rPr>
          <w:rFonts w:ascii="Times New Roman" w:hAnsi="Times New Roman" w:eastAsia="黑体"/>
          <w:b w:val="0"/>
          <w:color w:val="000000"/>
          <w:sz w:val="32"/>
          <w:szCs w:val="32"/>
        </w:rPr>
        <w:t>理人</w:t>
      </w:r>
      <w:bookmarkEnd w:id="544"/>
    </w:p>
    <w:p w14:paraId="6E95CF5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4.1监理人的一般规定</w:t>
      </w:r>
    </w:p>
    <w:p w14:paraId="7252A66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E07C10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关于监理人的监理权限：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C7FAE3A">
      <w:pPr>
        <w:spacing w:line="360" w:lineRule="auto"/>
        <w:ind w:firstLine="600" w:firstLineChars="200"/>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关于监理人在施工现场的办公场所、生活场所的提供和费用承担的约定：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4521558E">
      <w:pPr>
        <w:spacing w:line="360" w:lineRule="auto"/>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1A3355D">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4.2 监理人员</w:t>
      </w:r>
    </w:p>
    <w:p w14:paraId="7FC814E4">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总监理工程师：</w:t>
      </w:r>
    </w:p>
    <w:p w14:paraId="0C2BB9E8">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姓    名：</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463E2BEA">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职    务：</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028EBA49">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监理工程师执业资格证书号：</w:t>
      </w:r>
      <w:r>
        <w:rPr>
          <w:rFonts w:ascii="Times New Roman" w:hAnsi="Times New Roman" w:eastAsia="仿宋_GB2312"/>
          <w:color w:val="000000"/>
          <w:sz w:val="30"/>
          <w:szCs w:val="32"/>
          <w:u w:val="single"/>
        </w:rPr>
        <w:t> </w:t>
      </w:r>
      <w:r>
        <w:rPr>
          <w:rFonts w:ascii="Times New Roman" w:hAnsi="Times New Roman" w:eastAsia="仿宋_GB2312"/>
          <w:color w:val="000000"/>
          <w:sz w:val="30"/>
          <w:szCs w:val="32"/>
        </w:rPr>
        <w:t>；</w:t>
      </w:r>
    </w:p>
    <w:p w14:paraId="008C2F62">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联系电话：</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65085056">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电子信箱：</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0D637FC">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通信地址：</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58086B8E">
      <w:pPr>
        <w:spacing w:line="360" w:lineRule="auto"/>
        <w:ind w:firstLine="600" w:firstLineChars="200"/>
        <w:rPr>
          <w:rFonts w:ascii="Times New Roman" w:hAnsi="Times New Roman" w:eastAsia="仿宋_GB2312"/>
          <w:color w:val="000000"/>
          <w:sz w:val="30"/>
          <w:szCs w:val="32"/>
        </w:rPr>
      </w:pPr>
      <w:r>
        <w:rPr>
          <w:rFonts w:ascii="Times New Roman" w:hAnsi="Times New Roman" w:eastAsia="仿宋_GB2312"/>
          <w:color w:val="000000"/>
          <w:sz w:val="30"/>
          <w:szCs w:val="32"/>
        </w:rPr>
        <w:t>关于监理人的其他约定：</w:t>
      </w:r>
      <w:r>
        <w:rPr>
          <w:rFonts w:ascii="Times New Roman" w:hAnsi="Times New Roman" w:eastAsia="仿宋_GB2312"/>
          <w:color w:val="000000"/>
          <w:sz w:val="30"/>
          <w:szCs w:val="32"/>
          <w:u w:val="single"/>
        </w:rPr>
        <w:t>   </w:t>
      </w:r>
      <w:r>
        <w:rPr>
          <w:rFonts w:ascii="Times New Roman" w:hAnsi="Times New Roman" w:eastAsia="仿宋_GB2312"/>
          <w:color w:val="000000"/>
          <w:sz w:val="30"/>
          <w:szCs w:val="32"/>
        </w:rPr>
        <w:t>。</w:t>
      </w:r>
    </w:p>
    <w:p w14:paraId="7731B20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4.4 商定或确定</w:t>
      </w:r>
    </w:p>
    <w:p w14:paraId="01E5A1BF">
      <w:pPr>
        <w:spacing w:line="360" w:lineRule="auto"/>
        <w:ind w:firstLine="600" w:firstLineChars="200"/>
        <w:rPr>
          <w:rFonts w:ascii="Times New Roman" w:hAnsi="Times New Roman" w:eastAsia="仿宋_GB2312"/>
          <w:color w:val="000000"/>
          <w:sz w:val="30"/>
          <w:szCs w:val="32"/>
        </w:rPr>
      </w:pPr>
      <w:bookmarkStart w:id="556" w:name="_Toc267251418"/>
      <w:r>
        <w:rPr>
          <w:rFonts w:ascii="Times New Roman" w:hAnsi="Times New Roman" w:eastAsia="仿宋_GB2312"/>
          <w:color w:val="000000"/>
          <w:sz w:val="30"/>
          <w:szCs w:val="32"/>
        </w:rPr>
        <w:t>在发包人和承包人不能通过协商达成一致意见时，发包人授权监理人对以下事项进行确定：</w:t>
      </w:r>
    </w:p>
    <w:p w14:paraId="4D63798A">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BD0C9B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24A9D71">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B780272">
      <w:pPr>
        <w:pStyle w:val="5"/>
        <w:spacing w:before="120" w:after="120" w:line="360" w:lineRule="auto"/>
        <w:rPr>
          <w:rFonts w:ascii="Times New Roman" w:hAnsi="Times New Roman" w:eastAsia="黑体"/>
          <w:b w:val="0"/>
          <w:color w:val="000000"/>
          <w:sz w:val="32"/>
          <w:szCs w:val="32"/>
        </w:rPr>
      </w:pPr>
      <w:bookmarkStart w:id="557" w:name="_Toc351203637"/>
      <w:r>
        <w:rPr>
          <w:rFonts w:ascii="Times New Roman" w:hAnsi="Times New Roman" w:eastAsia="黑体"/>
          <w:b w:val="0"/>
          <w:color w:val="000000"/>
          <w:sz w:val="32"/>
          <w:szCs w:val="32"/>
        </w:rPr>
        <w:t>5</w:t>
      </w:r>
      <w:bookmarkEnd w:id="556"/>
      <w:bookmarkStart w:id="558" w:name="_Toc296891203"/>
      <w:bookmarkStart w:id="559" w:name="_Toc292559367"/>
      <w:bookmarkStart w:id="560" w:name="_Toc292559872"/>
      <w:bookmarkStart w:id="561" w:name="_Toc296944502"/>
      <w:bookmarkStart w:id="562" w:name="_Toc296347162"/>
      <w:bookmarkStart w:id="563" w:name="_Toc297120463"/>
      <w:bookmarkStart w:id="564" w:name="_Toc296503163"/>
      <w:bookmarkStart w:id="565" w:name="_Toc296890991"/>
      <w:bookmarkStart w:id="566" w:name="_Toc297048349"/>
      <w:bookmarkStart w:id="567" w:name="_Toc296346664"/>
      <w:r>
        <w:rPr>
          <w:rFonts w:ascii="Times New Roman" w:hAnsi="Times New Roman" w:eastAsia="黑体"/>
          <w:b w:val="0"/>
          <w:color w:val="000000"/>
          <w:sz w:val="32"/>
          <w:szCs w:val="32"/>
        </w:rPr>
        <w:t>. 工程质量</w:t>
      </w:r>
      <w:bookmarkEnd w:id="557"/>
    </w:p>
    <w:p w14:paraId="0F6CAAAE">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5.1 质量要求</w:t>
      </w:r>
    </w:p>
    <w:p w14:paraId="71B78957">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5</w:t>
      </w:r>
      <w:bookmarkStart w:id="568" w:name="_Toc297216155"/>
      <w:bookmarkStart w:id="569" w:name="_Toc318581164"/>
      <w:bookmarkStart w:id="570" w:name="_Toc297123496"/>
      <w:bookmarkStart w:id="571" w:name="_Toc303539106"/>
      <w:bookmarkStart w:id="572" w:name="_Toc312677997"/>
      <w:bookmarkStart w:id="573" w:name="_Toc300934949"/>
      <w:bookmarkStart w:id="574" w:name="_Toc304295527"/>
      <w:r>
        <w:rPr>
          <w:rFonts w:ascii="Times New Roman" w:hAnsi="Times New Roman" w:eastAsia="仿宋_GB2312"/>
          <w:sz w:val="30"/>
          <w:szCs w:val="32"/>
        </w:rPr>
        <w:t>.1.1 特殊质量标准和要求：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87F3D1E">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A32902E">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关于工程奖项的约定：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FF2AE91">
      <w:pPr>
        <w:spacing w:line="360" w:lineRule="auto"/>
        <w:jc w:val="left"/>
        <w:rPr>
          <w:rFonts w:hint="eastAsia" w:ascii="Times New Roman" w:hAnsi="Times New Roman" w:eastAsia="黑体"/>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EB1AE5D">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5.3 隐蔽工程检查</w:t>
      </w:r>
    </w:p>
    <w:p w14:paraId="45EB8FAA">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5.3.2承包人提前通知监理人隐蔽工程检查的期限的约定：</w:t>
      </w:r>
      <w:r>
        <w:rPr>
          <w:rFonts w:ascii="Times New Roman" w:hAnsi="Times New Roman" w:eastAsia="仿宋_GB2312"/>
          <w:sz w:val="30"/>
          <w:szCs w:val="32"/>
          <w:u w:val="single"/>
        </w:rPr>
        <w:t xml:space="preserve">    </w:t>
      </w:r>
    </w:p>
    <w:p w14:paraId="106AF1CB">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69C5E2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监理人不能按时进行检查时，应提前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4BED2DE2">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6315CC1A">
      <w:pPr>
        <w:pStyle w:val="5"/>
        <w:spacing w:before="120" w:after="120" w:line="360" w:lineRule="auto"/>
        <w:rPr>
          <w:rFonts w:ascii="Times New Roman" w:hAnsi="Times New Roman" w:eastAsia="黑体"/>
          <w:b w:val="0"/>
          <w:color w:val="000000"/>
          <w:sz w:val="32"/>
          <w:szCs w:val="32"/>
        </w:rPr>
      </w:pPr>
      <w:bookmarkStart w:id="575" w:name="_Toc351203638"/>
      <w:r>
        <w:rPr>
          <w:rFonts w:ascii="Times New Roman" w:hAnsi="Times New Roman" w:eastAsia="黑体"/>
          <w:b w:val="0"/>
          <w:color w:val="000000"/>
          <w:sz w:val="32"/>
          <w:szCs w:val="32"/>
        </w:rPr>
        <w:t>6. 安全文明施工与环境保护</w:t>
      </w:r>
      <w:bookmarkEnd w:id="575"/>
    </w:p>
    <w:p w14:paraId="3DC12842">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6.1安全文明施工</w:t>
      </w:r>
    </w:p>
    <w:p w14:paraId="0C7E9AE4">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6.1.1</w:t>
      </w:r>
      <w:r>
        <w:rPr>
          <w:rFonts w:ascii="Times New Roman" w:hAnsi="Times New Roman" w:eastAsia="仿宋_GB2312"/>
          <w:color w:val="000000"/>
          <w:sz w:val="30"/>
          <w:szCs w:val="32"/>
        </w:rPr>
        <w:t xml:space="preserve"> 项目安全生产的达标目标及相应事项的约定：</w:t>
      </w:r>
      <w:r>
        <w:rPr>
          <w:rFonts w:ascii="Times New Roman" w:hAnsi="Times New Roman" w:eastAsia="仿宋_GB2312"/>
          <w:sz w:val="30"/>
          <w:szCs w:val="32"/>
          <w:u w:val="single"/>
        </w:rPr>
        <w:t xml:space="preserve">         </w:t>
      </w:r>
    </w:p>
    <w:p w14:paraId="4F48CC49">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1F0767A">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6.1.4 关于治安保卫的特别约定：</w:t>
      </w:r>
      <w:r>
        <w:rPr>
          <w:rFonts w:ascii="Times New Roman" w:hAnsi="Times New Roman" w:eastAsia="仿宋_GB2312"/>
          <w:sz w:val="30"/>
          <w:szCs w:val="32"/>
          <w:u w:val="single"/>
        </w:rPr>
        <w:t xml:space="preserve">                         </w:t>
      </w:r>
    </w:p>
    <w:p w14:paraId="59ADCB3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C3BAD9D">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关于编制施工场地治安管理计划的约定：</w:t>
      </w:r>
      <w:r>
        <w:rPr>
          <w:rFonts w:ascii="Times New Roman" w:hAnsi="Times New Roman" w:eastAsia="仿宋_GB2312"/>
          <w:sz w:val="30"/>
          <w:szCs w:val="32"/>
          <w:u w:val="single"/>
        </w:rPr>
        <w:t xml:space="preserve">                  </w:t>
      </w:r>
      <w:r>
        <w:rPr>
          <w:rFonts w:ascii="Times New Roman" w:hAnsi="Times New Roman" w:eastAsia="仿宋_GB2312"/>
          <w:sz w:val="30"/>
          <w:szCs w:val="32"/>
          <w:u w:val="single"/>
        </w:rPr>
        <w:br w:type="textWrapping"/>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CA6DC31">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6.1.5 文明施工</w:t>
      </w:r>
    </w:p>
    <w:p w14:paraId="11528C12">
      <w:pPr>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sz w:val="30"/>
          <w:szCs w:val="32"/>
        </w:rPr>
        <w:t>合同当事人对文明施工的要求：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4DE22783">
      <w:pPr>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sz w:val="30"/>
          <w:szCs w:val="32"/>
        </w:rPr>
        <w:t>。</w:t>
      </w:r>
    </w:p>
    <w:p w14:paraId="65AC59B7">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6.1.6 关于安全文明施工费支付比例和支付期限的约定：</w:t>
      </w:r>
      <w:r>
        <w:rPr>
          <w:rFonts w:ascii="Times New Roman" w:hAnsi="Times New Roman" w:eastAsia="仿宋_GB2312"/>
          <w:sz w:val="30"/>
          <w:szCs w:val="32"/>
          <w:u w:val="single"/>
        </w:rPr>
        <w:t xml:space="preserve">     </w:t>
      </w:r>
    </w:p>
    <w:p w14:paraId="0ED1E927">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568"/>
    <w:bookmarkEnd w:id="569"/>
    <w:bookmarkEnd w:id="570"/>
    <w:bookmarkEnd w:id="571"/>
    <w:bookmarkEnd w:id="572"/>
    <w:bookmarkEnd w:id="573"/>
    <w:bookmarkEnd w:id="574"/>
    <w:p w14:paraId="43D230B5">
      <w:pPr>
        <w:pStyle w:val="5"/>
        <w:spacing w:before="120" w:after="120" w:line="360" w:lineRule="auto"/>
        <w:rPr>
          <w:rFonts w:ascii="Times New Roman" w:hAnsi="Times New Roman" w:eastAsia="黑体"/>
          <w:b w:val="0"/>
          <w:color w:val="000000"/>
          <w:sz w:val="32"/>
          <w:szCs w:val="32"/>
        </w:rPr>
      </w:pPr>
      <w:bookmarkStart w:id="576" w:name="_Toc351203639"/>
      <w:r>
        <w:rPr>
          <w:rFonts w:ascii="Times New Roman" w:hAnsi="Times New Roman" w:eastAsia="黑体"/>
          <w:b w:val="0"/>
          <w:color w:val="000000"/>
          <w:sz w:val="32"/>
          <w:szCs w:val="32"/>
        </w:rPr>
        <w:t>7. 工期和进度</w:t>
      </w:r>
      <w:bookmarkEnd w:id="576"/>
    </w:p>
    <w:p w14:paraId="5074207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7.1 施工组织设计</w:t>
      </w:r>
    </w:p>
    <w:p w14:paraId="083EC9A9">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7.1.</w:t>
      </w:r>
      <w:r>
        <w:rPr>
          <w:rFonts w:hint="eastAsia" w:ascii="Times New Roman" w:hAnsi="Times New Roman" w:eastAsia="仿宋_GB2312"/>
          <w:sz w:val="30"/>
          <w:szCs w:val="32"/>
        </w:rPr>
        <w:t xml:space="preserve">1 </w:t>
      </w:r>
      <w:r>
        <w:rPr>
          <w:rFonts w:hint="eastAsia" w:ascii="Times New Roman" w:hAnsi="Times New Roman" w:eastAsia="仿宋_GB2312"/>
          <w:color w:val="000000"/>
          <w:sz w:val="30"/>
          <w:szCs w:val="32"/>
        </w:rPr>
        <w:t>合</w:t>
      </w:r>
      <w:r>
        <w:rPr>
          <w:rFonts w:hint="eastAsia" w:ascii="Times New Roman" w:hAnsi="Times New Roman" w:eastAsia="仿宋_GB2312"/>
          <w:color w:val="000000"/>
          <w:kern w:val="0"/>
          <w:sz w:val="30"/>
          <w:szCs w:val="32"/>
        </w:rPr>
        <w:t>同当事人约定的</w:t>
      </w:r>
      <w:r>
        <w:rPr>
          <w:rFonts w:ascii="Times New Roman" w:hAnsi="Times New Roman" w:eastAsia="仿宋_GB2312"/>
          <w:color w:val="000000"/>
          <w:kern w:val="0"/>
          <w:sz w:val="30"/>
          <w:szCs w:val="32"/>
        </w:rPr>
        <w:t>施工组织设计</w:t>
      </w:r>
      <w:r>
        <w:rPr>
          <w:rFonts w:hint="eastAsia" w:ascii="Times New Roman" w:hAnsi="Times New Roman" w:eastAsia="仿宋_GB2312"/>
          <w:color w:val="000000"/>
          <w:kern w:val="0"/>
          <w:sz w:val="30"/>
          <w:szCs w:val="32"/>
        </w:rPr>
        <w:t>应包括的其他内容</w:t>
      </w:r>
      <w:r>
        <w:rPr>
          <w:rFonts w:ascii="Times New Roman" w:hAnsi="Times New Roman" w:eastAsia="仿宋_GB2312"/>
          <w:color w:val="000000"/>
          <w:kern w:val="0"/>
          <w:sz w:val="30"/>
          <w:szCs w:val="32"/>
        </w:rPr>
        <w:t>：</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25C59F0C">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981A9D2">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sz w:val="30"/>
          <w:szCs w:val="32"/>
        </w:rPr>
        <w:t>7.1.2</w:t>
      </w:r>
      <w:r>
        <w:rPr>
          <w:rFonts w:ascii="Times New Roman" w:hAnsi="Times New Roman" w:eastAsia="仿宋_GB2312"/>
          <w:color w:val="000000"/>
          <w:sz w:val="30"/>
          <w:szCs w:val="32"/>
        </w:rPr>
        <w:t xml:space="preserve"> </w:t>
      </w:r>
      <w:r>
        <w:rPr>
          <w:rFonts w:ascii="Times New Roman" w:hAnsi="Times New Roman" w:eastAsia="仿宋_GB2312"/>
          <w:color w:val="000000"/>
          <w:kern w:val="0"/>
          <w:sz w:val="30"/>
          <w:szCs w:val="32"/>
        </w:rPr>
        <w:t>施工组织设计的提交和修改</w:t>
      </w:r>
    </w:p>
    <w:p w14:paraId="316714F7">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承包人提交详细施工组织设计的期限的约定：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4409EFD4">
      <w:pPr>
        <w:autoSpaceDE w:val="0"/>
        <w:autoSpaceDN w:val="0"/>
        <w:adjustRightInd w:val="0"/>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D415DE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w:t>
      </w:r>
      <w:r>
        <w:rPr>
          <w:rFonts w:hint="eastAsia" w:ascii="Times New Roman" w:hAnsi="Times New Roman" w:eastAsia="仿宋_GB2312"/>
          <w:color w:val="000000"/>
          <w:sz w:val="30"/>
          <w:szCs w:val="32"/>
        </w:rPr>
        <w:t>详细的施工组织设计</w:t>
      </w:r>
      <w:r>
        <w:rPr>
          <w:rFonts w:ascii="Times New Roman" w:hAnsi="Times New Roman" w:eastAsia="仿宋_GB2312"/>
          <w:color w:val="000000"/>
          <w:sz w:val="30"/>
          <w:szCs w:val="32"/>
        </w:rPr>
        <w:t>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C65A6D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77" w:name="_Toc300934966"/>
      <w:bookmarkStart w:id="578" w:name="_Toc297123514"/>
      <w:bookmarkStart w:id="579" w:name="_Toc304295541"/>
      <w:bookmarkStart w:id="580" w:name="_Toc303539123"/>
      <w:bookmarkStart w:id="581" w:name="_Toc312678005"/>
      <w:bookmarkStart w:id="582" w:name="_Toc312677479"/>
      <w:bookmarkStart w:id="583" w:name="_Toc297216173"/>
      <w:r>
        <w:rPr>
          <w:rFonts w:ascii="Times New Roman" w:hAnsi="Times New Roman" w:eastAsia="黑体"/>
          <w:color w:val="000000"/>
          <w:sz w:val="30"/>
          <w:szCs w:val="32"/>
        </w:rPr>
        <w:t>.2 施工进度计划</w:t>
      </w:r>
    </w:p>
    <w:p w14:paraId="1F8A2BA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7.2.2 施工进度计划的修订</w:t>
      </w:r>
    </w:p>
    <w:p w14:paraId="05E8CA1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发包人和监理人在收到修订的施工进度计划后确认或提出修改意见的期限：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898C9D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7.3 开工</w:t>
      </w:r>
    </w:p>
    <w:p w14:paraId="0941909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7.3.1 开工准备</w:t>
      </w:r>
    </w:p>
    <w:p w14:paraId="675E76A4">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关于承包人提交</w:t>
      </w:r>
      <w:r>
        <w:rPr>
          <w:rFonts w:ascii="Times New Roman" w:hAnsi="Times New Roman" w:eastAsia="仿宋_GB2312"/>
          <w:color w:val="000000"/>
          <w:kern w:val="0"/>
          <w:sz w:val="30"/>
          <w:szCs w:val="32"/>
        </w:rPr>
        <w:t>工程开工报审表的期限：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383C6D8">
      <w:pPr>
        <w:spacing w:line="360" w:lineRule="auto"/>
        <w:ind w:firstLine="645"/>
        <w:jc w:val="left"/>
        <w:rPr>
          <w:rFonts w:ascii="Times New Roman" w:hAnsi="Times New Roman" w:eastAsia="仿宋_GB2312"/>
          <w:sz w:val="30"/>
          <w:szCs w:val="32"/>
          <w:u w:val="single"/>
        </w:rPr>
      </w:pPr>
      <w:r>
        <w:rPr>
          <w:rFonts w:ascii="Times New Roman" w:hAnsi="Times New Roman" w:eastAsia="仿宋_GB2312"/>
          <w:color w:val="000000"/>
          <w:sz w:val="30"/>
          <w:szCs w:val="32"/>
        </w:rPr>
        <w:t>关于发包人应完成的其他开工准备工作及期限：</w:t>
      </w:r>
      <w:r>
        <w:rPr>
          <w:rFonts w:ascii="Times New Roman" w:hAnsi="Times New Roman" w:eastAsia="仿宋_GB2312"/>
          <w:sz w:val="30"/>
          <w:szCs w:val="32"/>
          <w:u w:val="single"/>
        </w:rPr>
        <w:t xml:space="preserve">             </w:t>
      </w:r>
    </w:p>
    <w:p w14:paraId="16C5A22E">
      <w:pPr>
        <w:spacing w:line="360" w:lineRule="auto"/>
        <w:jc w:val="left"/>
        <w:rPr>
          <w:rFonts w:ascii="Times New Roman" w:hAnsi="Times New Roman" w:eastAsia="仿宋_GB2312"/>
          <w:color w:val="000000"/>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154DE92">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sz w:val="30"/>
          <w:szCs w:val="32"/>
        </w:rPr>
        <w:t>关于承包人应完成的其他开工准备工作及期限：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64ED6B6A">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59278E8E">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7.3.2开工通知</w:t>
      </w:r>
    </w:p>
    <w:p w14:paraId="48C14EE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因发包人原因造成监理人未能在计划开工日期之日起</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天内发出开工通知的，承包人有权提出价格调整要求，或者解除合同。</w:t>
      </w:r>
    </w:p>
    <w:bookmarkEnd w:id="577"/>
    <w:bookmarkEnd w:id="578"/>
    <w:bookmarkEnd w:id="579"/>
    <w:bookmarkEnd w:id="580"/>
    <w:bookmarkEnd w:id="581"/>
    <w:bookmarkEnd w:id="582"/>
    <w:bookmarkEnd w:id="583"/>
    <w:p w14:paraId="1C878C2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7.4 测量放线</w:t>
      </w:r>
    </w:p>
    <w:p w14:paraId="540ED4D7">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7.4.1发包人通过监理人向承包人提供测量基准点、基准线和水准点及其书面资料的期限：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rPr>
        <w:t>。</w:t>
      </w:r>
    </w:p>
    <w:p w14:paraId="07A475A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584" w:name="_Toc297216175"/>
      <w:bookmarkStart w:id="585" w:name="_Toc300934968"/>
      <w:bookmarkStart w:id="586" w:name="_Toc312678010"/>
      <w:bookmarkStart w:id="587" w:name="_Toc297123516"/>
      <w:bookmarkStart w:id="588" w:name="_Toc303539125"/>
      <w:bookmarkStart w:id="589" w:name="_Toc312677484"/>
      <w:bookmarkStart w:id="590" w:name="_Toc304295546"/>
      <w:r>
        <w:rPr>
          <w:rFonts w:ascii="Times New Roman" w:hAnsi="Times New Roman" w:eastAsia="黑体"/>
          <w:color w:val="000000"/>
          <w:sz w:val="30"/>
          <w:szCs w:val="32"/>
        </w:rPr>
        <w:t>.5 工期延误</w:t>
      </w:r>
    </w:p>
    <w:bookmarkEnd w:id="584"/>
    <w:bookmarkEnd w:id="585"/>
    <w:bookmarkEnd w:id="586"/>
    <w:bookmarkEnd w:id="587"/>
    <w:bookmarkEnd w:id="588"/>
    <w:bookmarkEnd w:id="589"/>
    <w:bookmarkEnd w:id="590"/>
    <w:p w14:paraId="2004D1A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7.5.1 因发包人原因导致工期延误</w:t>
      </w:r>
    </w:p>
    <w:p w14:paraId="0967EDF4">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（7）因发包人原因导致工期延误的其他情形：</w:t>
      </w:r>
      <w:r>
        <w:rPr>
          <w:rFonts w:ascii="Times New Roman" w:hAnsi="Times New Roman" w:eastAsia="仿宋_GB2312"/>
          <w:sz w:val="30"/>
          <w:szCs w:val="32"/>
          <w:u w:val="single"/>
        </w:rPr>
        <w:t xml:space="preserve">              </w:t>
      </w:r>
    </w:p>
    <w:p w14:paraId="34BADE68">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313298C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7</w:t>
      </w:r>
      <w:bookmarkStart w:id="591" w:name="_Toc312677486"/>
      <w:bookmarkStart w:id="592" w:name="_Toc318581169"/>
      <w:bookmarkStart w:id="593" w:name="_Toc312678012"/>
      <w:bookmarkStart w:id="594" w:name="_Toc297216177"/>
      <w:bookmarkStart w:id="595" w:name="_Toc300934970"/>
      <w:bookmarkStart w:id="596" w:name="_Toc297123518"/>
      <w:bookmarkStart w:id="597" w:name="_Toc303539127"/>
      <w:bookmarkStart w:id="598" w:name="_Toc304295548"/>
      <w:r>
        <w:rPr>
          <w:rFonts w:ascii="Times New Roman" w:hAnsi="Times New Roman" w:eastAsia="仿宋_GB2312"/>
          <w:sz w:val="30"/>
          <w:szCs w:val="32"/>
        </w:rPr>
        <w:t>.5.2 因承包人原因导致工期延误</w:t>
      </w:r>
    </w:p>
    <w:bookmarkEnd w:id="591"/>
    <w:bookmarkEnd w:id="592"/>
    <w:bookmarkEnd w:id="593"/>
    <w:p w14:paraId="5FDFAD8B">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因</w:t>
      </w:r>
      <w:bookmarkStart w:id="599" w:name="_Toc312677487"/>
      <w:bookmarkStart w:id="600" w:name="_Toc312678013"/>
      <w:bookmarkStart w:id="601" w:name="_Toc318581170"/>
      <w:r>
        <w:rPr>
          <w:rFonts w:ascii="Times New Roman" w:hAnsi="Times New Roman" w:eastAsia="仿宋_GB2312"/>
          <w:sz w:val="30"/>
          <w:szCs w:val="32"/>
        </w:rPr>
        <w:t>承包人原因造成工期延误，逾期竣工违约金的计算方法为：</w:t>
      </w:r>
    </w:p>
    <w:p w14:paraId="14BB929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594"/>
      <w:bookmarkEnd w:id="595"/>
      <w:bookmarkEnd w:id="596"/>
      <w:bookmarkEnd w:id="597"/>
      <w:bookmarkEnd w:id="598"/>
      <w:bookmarkEnd w:id="599"/>
      <w:bookmarkEnd w:id="600"/>
    </w:p>
    <w:bookmarkEnd w:id="601"/>
    <w:p w14:paraId="16514A1B">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因承包人原因造成工期延误，逾</w:t>
      </w:r>
      <w:bookmarkStart w:id="602" w:name="_Toc312678014"/>
      <w:bookmarkStart w:id="603" w:name="_Toc318581171"/>
      <w:r>
        <w:rPr>
          <w:rFonts w:ascii="Times New Roman" w:hAnsi="Times New Roman" w:eastAsia="仿宋_GB2312"/>
          <w:sz w:val="30"/>
          <w:szCs w:val="32"/>
        </w:rPr>
        <w:t>期竣工违约金的上限：</w:t>
      </w:r>
      <w:r>
        <w:rPr>
          <w:rFonts w:ascii="Times New Roman" w:hAnsi="Times New Roman" w:eastAsia="仿宋_GB2312"/>
          <w:sz w:val="30"/>
          <w:szCs w:val="32"/>
          <w:u w:val="single"/>
        </w:rPr>
        <w:t xml:space="preserve">       </w:t>
      </w:r>
    </w:p>
    <w:p w14:paraId="0A09034C">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02"/>
    <w:bookmarkEnd w:id="603"/>
    <w:p w14:paraId="1E6B4F0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04" w:name="_Toc312678015"/>
      <w:bookmarkStart w:id="605" w:name="_Toc303539128"/>
      <w:bookmarkStart w:id="606" w:name="_Toc300934971"/>
      <w:bookmarkStart w:id="607" w:name="_Toc304295549"/>
      <w:bookmarkStart w:id="608" w:name="_Toc297123519"/>
      <w:bookmarkStart w:id="609" w:name="_Toc297216178"/>
      <w:r>
        <w:rPr>
          <w:rFonts w:ascii="Times New Roman" w:hAnsi="Times New Roman" w:eastAsia="黑体"/>
          <w:color w:val="000000"/>
          <w:sz w:val="30"/>
          <w:szCs w:val="32"/>
        </w:rPr>
        <w:t>.6 不</w:t>
      </w:r>
      <w:bookmarkEnd w:id="604"/>
      <w:bookmarkEnd w:id="605"/>
      <w:bookmarkEnd w:id="606"/>
      <w:bookmarkEnd w:id="607"/>
      <w:bookmarkEnd w:id="608"/>
      <w:bookmarkEnd w:id="609"/>
      <w:r>
        <w:rPr>
          <w:rFonts w:ascii="Times New Roman" w:hAnsi="Times New Roman" w:eastAsia="黑体"/>
          <w:color w:val="000000"/>
          <w:sz w:val="30"/>
          <w:szCs w:val="32"/>
        </w:rPr>
        <w:t>利物质条件</w:t>
      </w:r>
    </w:p>
    <w:p w14:paraId="22C47487">
      <w:pPr>
        <w:spacing w:line="360" w:lineRule="auto"/>
        <w:ind w:firstLine="600" w:firstLineChars="200"/>
        <w:jc w:val="left"/>
        <w:rPr>
          <w:rFonts w:ascii="Times New Roman" w:hAnsi="Times New Roman" w:eastAsia="仿宋_GB2312"/>
          <w:sz w:val="30"/>
          <w:szCs w:val="32"/>
          <w:u w:val="single"/>
        </w:rPr>
      </w:pPr>
      <w:bookmarkStart w:id="610" w:name="_Toc304295550"/>
      <w:bookmarkStart w:id="611" w:name="_Toc318581172"/>
      <w:bookmarkStart w:id="612" w:name="_Toc297123520"/>
      <w:bookmarkStart w:id="613" w:name="_Toc300934972"/>
      <w:bookmarkStart w:id="614" w:name="_Toc312678016"/>
      <w:bookmarkStart w:id="615" w:name="_Toc303539129"/>
      <w:bookmarkStart w:id="616" w:name="_Toc297216179"/>
      <w:r>
        <w:rPr>
          <w:rFonts w:ascii="Times New Roman" w:hAnsi="Times New Roman" w:eastAsia="仿宋_GB2312"/>
          <w:sz w:val="30"/>
          <w:szCs w:val="32"/>
        </w:rPr>
        <w:t>不利物质条件的其他情形和有关约定：</w:t>
      </w:r>
      <w:r>
        <w:rPr>
          <w:rFonts w:ascii="Times New Roman" w:hAnsi="Times New Roman" w:eastAsia="仿宋_GB2312"/>
          <w:sz w:val="30"/>
          <w:szCs w:val="32"/>
          <w:u w:val="single"/>
        </w:rPr>
        <w:t xml:space="preserve">                    </w:t>
      </w:r>
    </w:p>
    <w:p w14:paraId="49B4E1D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10"/>
    <w:bookmarkEnd w:id="611"/>
    <w:bookmarkEnd w:id="612"/>
    <w:bookmarkEnd w:id="613"/>
    <w:bookmarkEnd w:id="614"/>
    <w:bookmarkEnd w:id="615"/>
    <w:bookmarkEnd w:id="616"/>
    <w:p w14:paraId="50D9CBE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7</w:t>
      </w:r>
      <w:bookmarkStart w:id="617" w:name="_Toc297123521"/>
      <w:bookmarkStart w:id="618" w:name="_Toc304295551"/>
      <w:bookmarkStart w:id="619" w:name="_Toc312678017"/>
      <w:bookmarkStart w:id="620" w:name="_Toc297216180"/>
      <w:bookmarkStart w:id="621" w:name="_Toc300934973"/>
      <w:bookmarkStart w:id="622" w:name="_Toc303539130"/>
      <w:r>
        <w:rPr>
          <w:rFonts w:ascii="Times New Roman" w:hAnsi="Times New Roman" w:eastAsia="黑体"/>
          <w:color w:val="000000"/>
          <w:sz w:val="30"/>
          <w:szCs w:val="32"/>
        </w:rPr>
        <w:t>.7异常恶劣的气候条件</w:t>
      </w:r>
    </w:p>
    <w:bookmarkEnd w:id="617"/>
    <w:bookmarkEnd w:id="618"/>
    <w:bookmarkEnd w:id="619"/>
    <w:bookmarkEnd w:id="620"/>
    <w:bookmarkEnd w:id="621"/>
    <w:bookmarkEnd w:id="622"/>
    <w:p w14:paraId="5320801F">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发包人和承包人同意以下情形视为异常恶劣的气候条件：</w:t>
      </w:r>
    </w:p>
    <w:p w14:paraId="50F53DA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69A014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C74AB2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（3）</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26B2BE4">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7.9 提前竣工的奖励</w:t>
      </w:r>
    </w:p>
    <w:p w14:paraId="2BBF5043">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7.9.2提前竣工的奖励：</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CB3B911">
      <w:pPr>
        <w:pStyle w:val="5"/>
        <w:spacing w:before="120" w:after="120" w:line="360" w:lineRule="auto"/>
        <w:rPr>
          <w:rFonts w:ascii="Times New Roman" w:hAnsi="Times New Roman" w:eastAsia="黑体"/>
          <w:b w:val="0"/>
          <w:color w:val="000000"/>
          <w:sz w:val="32"/>
          <w:szCs w:val="32"/>
        </w:rPr>
      </w:pPr>
      <w:bookmarkStart w:id="623" w:name="_Toc351203640"/>
      <w:r>
        <w:rPr>
          <w:rFonts w:ascii="Times New Roman" w:hAnsi="Times New Roman" w:eastAsia="黑体"/>
          <w:b w:val="0"/>
          <w:color w:val="000000"/>
          <w:sz w:val="32"/>
          <w:szCs w:val="32"/>
        </w:rPr>
        <w:t>8. 材料与设备</w:t>
      </w:r>
      <w:bookmarkEnd w:id="623"/>
    </w:p>
    <w:bookmarkEnd w:id="558"/>
    <w:bookmarkEnd w:id="559"/>
    <w:bookmarkEnd w:id="560"/>
    <w:bookmarkEnd w:id="561"/>
    <w:bookmarkEnd w:id="562"/>
    <w:bookmarkEnd w:id="563"/>
    <w:bookmarkEnd w:id="564"/>
    <w:bookmarkEnd w:id="565"/>
    <w:bookmarkEnd w:id="566"/>
    <w:bookmarkEnd w:id="567"/>
    <w:p w14:paraId="60535D1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8</w:t>
      </w:r>
      <w:bookmarkStart w:id="624" w:name="_Toc292559877"/>
      <w:bookmarkStart w:id="625" w:name="_Toc280868654"/>
      <w:bookmarkStart w:id="626" w:name="_Toc292559372"/>
      <w:bookmarkStart w:id="627" w:name="_Toc296890995"/>
      <w:bookmarkStart w:id="628" w:name="_Toc297123527"/>
      <w:bookmarkStart w:id="629" w:name="_Toc296346668"/>
      <w:bookmarkStart w:id="630" w:name="_Toc296347166"/>
      <w:bookmarkStart w:id="631" w:name="_Toc312677493"/>
      <w:bookmarkStart w:id="632" w:name="_Toc297048353"/>
      <w:bookmarkStart w:id="633" w:name="_Toc296944506"/>
      <w:bookmarkStart w:id="634" w:name="_Toc296891207"/>
      <w:bookmarkStart w:id="635" w:name="_Toc296503167"/>
      <w:bookmarkStart w:id="636" w:name="_Toc297120467"/>
      <w:bookmarkStart w:id="637" w:name="_Toc300934979"/>
      <w:bookmarkStart w:id="638" w:name="_Toc312678019"/>
      <w:bookmarkStart w:id="639" w:name="_Toc297216186"/>
      <w:bookmarkStart w:id="640" w:name="_Toc304295556"/>
      <w:bookmarkStart w:id="641" w:name="_Toc303539136"/>
      <w:bookmarkStart w:id="642" w:name="_Toc280868656"/>
      <w:bookmarkStart w:id="643" w:name="_Toc280868655"/>
      <w:bookmarkStart w:id="644" w:name="_Toc267251424"/>
      <w:r>
        <w:rPr>
          <w:rFonts w:ascii="Times New Roman" w:hAnsi="Times New Roman" w:eastAsia="黑体"/>
          <w:color w:val="000000"/>
          <w:sz w:val="30"/>
          <w:szCs w:val="32"/>
        </w:rPr>
        <w:t>.4材料与工程设备的保管与使用</w:t>
      </w:r>
    </w:p>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p w14:paraId="390B7AED">
      <w:pPr>
        <w:spacing w:line="360" w:lineRule="auto"/>
        <w:ind w:firstLine="600" w:firstLineChars="200"/>
        <w:jc w:val="left"/>
        <w:rPr>
          <w:rFonts w:ascii="Times New Roman" w:hAnsi="Times New Roman" w:eastAsia="仿宋_GB2312"/>
          <w:sz w:val="30"/>
          <w:szCs w:val="32"/>
          <w:u w:val="single"/>
        </w:rPr>
      </w:pPr>
      <w:r>
        <w:rPr>
          <w:rFonts w:ascii="Times New Roman" w:hAnsi="Times New Roman" w:eastAsia="仿宋_GB2312"/>
          <w:sz w:val="30"/>
          <w:szCs w:val="32"/>
        </w:rPr>
        <w:t>8</w:t>
      </w:r>
      <w:bookmarkStart w:id="645" w:name="_Toc292559878"/>
      <w:bookmarkStart w:id="646" w:name="_Toc292559373"/>
      <w:bookmarkStart w:id="647" w:name="_Toc304295557"/>
      <w:bookmarkStart w:id="648" w:name="_Toc303539137"/>
      <w:bookmarkStart w:id="649" w:name="_Toc312678020"/>
      <w:bookmarkStart w:id="650" w:name="_Toc318581173"/>
      <w:bookmarkStart w:id="651" w:name="_Toc296347167"/>
      <w:bookmarkStart w:id="652" w:name="_Toc296503168"/>
      <w:bookmarkStart w:id="653" w:name="_Toc312677494"/>
      <w:bookmarkStart w:id="654" w:name="_Toc296346669"/>
      <w:bookmarkStart w:id="655" w:name="_Toc296890996"/>
      <w:bookmarkStart w:id="656" w:name="_Toc296891208"/>
      <w:bookmarkStart w:id="657" w:name="_Toc297120468"/>
      <w:bookmarkStart w:id="658" w:name="_Toc300934980"/>
      <w:bookmarkStart w:id="659" w:name="_Toc297123528"/>
      <w:bookmarkStart w:id="660" w:name="_Toc296944507"/>
      <w:bookmarkStart w:id="661" w:name="_Toc297048354"/>
      <w:bookmarkStart w:id="662" w:name="_Toc297216187"/>
      <w:r>
        <w:rPr>
          <w:rFonts w:ascii="Times New Roman" w:hAnsi="Times New Roman" w:eastAsia="仿宋_GB2312"/>
          <w:sz w:val="30"/>
          <w:szCs w:val="32"/>
        </w:rPr>
        <w:t>.4.1发包人供应的材料设备的保管费用的承担：</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AF48770">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bookmarkEnd w:id="645"/>
      <w:bookmarkEnd w:id="646"/>
    </w:p>
    <w:p w14:paraId="394CB06C">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8.6 样品</w:t>
      </w:r>
    </w:p>
    <w:p w14:paraId="282D59D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8.6.1</w:t>
      </w:r>
      <w:r>
        <w:rPr>
          <w:rFonts w:ascii="Times New Roman" w:hAnsi="Times New Roman" w:eastAsia="仿宋_GB2312"/>
          <w:color w:val="000000"/>
          <w:kern w:val="0"/>
          <w:sz w:val="30"/>
          <w:szCs w:val="32"/>
        </w:rPr>
        <w:tab/>
      </w:r>
      <w:r>
        <w:rPr>
          <w:rFonts w:ascii="Times New Roman" w:hAnsi="Times New Roman" w:eastAsia="仿宋_GB2312"/>
          <w:color w:val="000000"/>
          <w:kern w:val="0"/>
          <w:sz w:val="30"/>
          <w:szCs w:val="32"/>
        </w:rPr>
        <w:t>样品的报送</w:t>
      </w:r>
      <w:r>
        <w:rPr>
          <w:rFonts w:hint="eastAsia" w:ascii="Times New Roman" w:hAnsi="Times New Roman" w:eastAsia="仿宋_GB2312"/>
          <w:color w:val="000000"/>
          <w:kern w:val="0"/>
          <w:sz w:val="30"/>
          <w:szCs w:val="32"/>
        </w:rPr>
        <w:t>与封存</w:t>
      </w:r>
    </w:p>
    <w:p w14:paraId="4664BF67">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color w:val="000000"/>
          <w:kern w:val="0"/>
          <w:sz w:val="30"/>
          <w:szCs w:val="32"/>
        </w:rPr>
        <w:t>需要承包人报送样品的材料或工程设备，样品的种类、名称、规格、数量要求：</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51AB7317">
      <w:pPr>
        <w:autoSpaceDE w:val="0"/>
        <w:autoSpaceDN w:val="0"/>
        <w:adjustRightInd w:val="0"/>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0B3E0197">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8.8 施工设备和临时设施</w:t>
      </w:r>
    </w:p>
    <w:p w14:paraId="16242546">
      <w:pPr>
        <w:autoSpaceDE w:val="0"/>
        <w:autoSpaceDN w:val="0"/>
        <w:adjustRightInd w:val="0"/>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8.8.1 承包人提供的施工设备和临时设施</w:t>
      </w:r>
    </w:p>
    <w:p w14:paraId="67E79C63">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关于修建临时设施费用承担的约定：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3C6E4A74">
      <w:pPr>
        <w:autoSpaceDE w:val="0"/>
        <w:autoSpaceDN w:val="0"/>
        <w:adjustRightInd w:val="0"/>
        <w:spacing w:line="360" w:lineRule="auto"/>
        <w:jc w:val="left"/>
        <w:rPr>
          <w:rFonts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p w14:paraId="2039EFC8">
      <w:pPr>
        <w:pStyle w:val="5"/>
        <w:spacing w:before="120" w:after="120" w:line="360" w:lineRule="auto"/>
        <w:rPr>
          <w:rFonts w:ascii="Times New Roman" w:hAnsi="Times New Roman" w:eastAsia="黑体"/>
          <w:b w:val="0"/>
          <w:color w:val="000000"/>
          <w:sz w:val="32"/>
          <w:szCs w:val="32"/>
        </w:rPr>
      </w:pPr>
      <w:bookmarkStart w:id="663" w:name="_Toc351203641"/>
      <w:r>
        <w:rPr>
          <w:rFonts w:ascii="Times New Roman" w:hAnsi="Times New Roman" w:eastAsia="黑体"/>
          <w:b w:val="0"/>
          <w:color w:val="000000"/>
          <w:sz w:val="32"/>
          <w:szCs w:val="32"/>
        </w:rPr>
        <w:t>9</w:t>
      </w:r>
      <w:bookmarkEnd w:id="642"/>
      <w:bookmarkEnd w:id="643"/>
      <w:bookmarkEnd w:id="644"/>
      <w:bookmarkStart w:id="664" w:name="_Toc312677495"/>
      <w:bookmarkStart w:id="665" w:name="_Toc297216192"/>
      <w:bookmarkStart w:id="666" w:name="_Toc312678021"/>
      <w:bookmarkStart w:id="667" w:name="_Toc297123533"/>
      <w:bookmarkStart w:id="668" w:name="_Toc303539139"/>
      <w:bookmarkStart w:id="669" w:name="_Toc300934982"/>
      <w:bookmarkStart w:id="670" w:name="_Toc304295559"/>
      <w:bookmarkStart w:id="671" w:name="_Toc267251428"/>
      <w:bookmarkStart w:id="672" w:name="_Toc267251427"/>
      <w:bookmarkStart w:id="673" w:name="_Toc296346674"/>
      <w:bookmarkStart w:id="674" w:name="_Toc296347172"/>
      <w:bookmarkStart w:id="675" w:name="_Toc296891001"/>
      <w:bookmarkStart w:id="676" w:name="_Toc297120473"/>
      <w:bookmarkStart w:id="677" w:name="_Toc296944512"/>
      <w:bookmarkStart w:id="678" w:name="_Toc292559378"/>
      <w:bookmarkStart w:id="679" w:name="_Toc292559883"/>
      <w:bookmarkStart w:id="680" w:name="_Toc296503173"/>
      <w:bookmarkStart w:id="681" w:name="_Toc296891213"/>
      <w:bookmarkStart w:id="682" w:name="_Toc297048359"/>
      <w:r>
        <w:rPr>
          <w:rFonts w:ascii="Times New Roman" w:hAnsi="Times New Roman" w:eastAsia="黑体"/>
          <w:b w:val="0"/>
          <w:color w:val="000000"/>
          <w:sz w:val="32"/>
          <w:szCs w:val="32"/>
        </w:rPr>
        <w:t>. 试验与检验</w:t>
      </w:r>
      <w:bookmarkEnd w:id="663"/>
    </w:p>
    <w:bookmarkEnd w:id="664"/>
    <w:bookmarkEnd w:id="665"/>
    <w:bookmarkEnd w:id="666"/>
    <w:bookmarkEnd w:id="667"/>
    <w:bookmarkEnd w:id="668"/>
    <w:bookmarkEnd w:id="669"/>
    <w:bookmarkEnd w:id="670"/>
    <w:p w14:paraId="36E41937">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9</w:t>
      </w:r>
      <w:bookmarkStart w:id="683" w:name="_Toc303539140"/>
      <w:bookmarkStart w:id="684" w:name="_Toc312677496"/>
      <w:bookmarkStart w:id="685" w:name="_Toc297123534"/>
      <w:bookmarkStart w:id="686" w:name="_Toc312678022"/>
      <w:bookmarkStart w:id="687" w:name="_Toc300934983"/>
      <w:bookmarkStart w:id="688" w:name="_Toc297216193"/>
      <w:bookmarkStart w:id="689" w:name="_Toc304295560"/>
      <w:r>
        <w:rPr>
          <w:rFonts w:ascii="Times New Roman" w:hAnsi="Times New Roman" w:eastAsia="黑体"/>
          <w:color w:val="000000"/>
          <w:sz w:val="30"/>
          <w:szCs w:val="32"/>
        </w:rPr>
        <w:t>.1试验设备与试验人员</w:t>
      </w:r>
    </w:p>
    <w:bookmarkEnd w:id="683"/>
    <w:bookmarkEnd w:id="684"/>
    <w:bookmarkEnd w:id="685"/>
    <w:bookmarkEnd w:id="686"/>
    <w:bookmarkEnd w:id="687"/>
    <w:bookmarkEnd w:id="688"/>
    <w:bookmarkEnd w:id="689"/>
    <w:p w14:paraId="529305E9">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9</w:t>
      </w:r>
      <w:bookmarkStart w:id="690" w:name="_Toc304295561"/>
      <w:bookmarkStart w:id="691" w:name="_Toc303539141"/>
      <w:bookmarkStart w:id="692" w:name="_Toc312677497"/>
      <w:bookmarkStart w:id="693" w:name="_Toc300934984"/>
      <w:bookmarkStart w:id="694" w:name="_Toc312678023"/>
      <w:bookmarkStart w:id="695" w:name="_Toc297216194"/>
      <w:bookmarkStart w:id="696" w:name="_Toc297123535"/>
      <w:bookmarkStart w:id="697" w:name="_Toc318581174"/>
      <w:r>
        <w:rPr>
          <w:rFonts w:ascii="Times New Roman" w:hAnsi="Times New Roman" w:eastAsia="仿宋_GB2312"/>
          <w:sz w:val="30"/>
          <w:szCs w:val="32"/>
        </w:rPr>
        <w:t>.1.2 试验设备</w:t>
      </w:r>
    </w:p>
    <w:p w14:paraId="3CA3F63E">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施工现场需要配置的试验场所：</w:t>
      </w:r>
      <w:bookmarkEnd w:id="690"/>
      <w:bookmarkEnd w:id="691"/>
      <w:bookmarkEnd w:id="692"/>
      <w:bookmarkEnd w:id="693"/>
      <w:bookmarkEnd w:id="694"/>
      <w:bookmarkEnd w:id="695"/>
      <w:bookmarkEnd w:id="696"/>
      <w:bookmarkStart w:id="698" w:name="_Toc297216195"/>
      <w:bookmarkStart w:id="699" w:name="_Toc297123536"/>
      <w:bookmarkStart w:id="700" w:name="_Toc303539142"/>
      <w:bookmarkStart w:id="701" w:name="_Toc304295562"/>
      <w:bookmarkStart w:id="702" w:name="_Toc312678024"/>
      <w:bookmarkStart w:id="703" w:name="_Toc312677498"/>
      <w:bookmarkStart w:id="704" w:name="_Toc300934985"/>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B296953">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r>
        <w:rPr>
          <w:rFonts w:hint="eastAsia" w:ascii="Times New Roman" w:hAnsi="Times New Roman" w:eastAsia="仿宋_GB2312"/>
          <w:sz w:val="30"/>
          <w:szCs w:val="32"/>
        </w:rPr>
        <w:t xml:space="preserve"> </w:t>
      </w:r>
    </w:p>
    <w:p w14:paraId="040B6C40">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施工现场需要配备的试验设备：</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30B0757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59C295B">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施工现场需要具备的其他试验条件：</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73DDA76D">
      <w:pPr>
        <w:spacing w:line="360" w:lineRule="auto"/>
        <w:jc w:val="left"/>
        <w:rPr>
          <w:rFonts w:ascii="Times New Roman" w:hAnsi="Times New Roman" w:eastAsia="仿宋_GB2312"/>
          <w:sz w:val="30"/>
          <w:szCs w:val="32"/>
        </w:rPr>
      </w:pP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8F26D4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9.4 现场工艺试验</w:t>
      </w:r>
      <w:r>
        <w:rPr>
          <w:rFonts w:hint="eastAsia" w:ascii="Times New Roman" w:hAnsi="Times New Roman" w:eastAsia="黑体"/>
          <w:color w:val="000000"/>
          <w:sz w:val="30"/>
          <w:szCs w:val="32"/>
        </w:rPr>
        <w:t xml:space="preserve"> </w:t>
      </w:r>
    </w:p>
    <w:p w14:paraId="03E26CD7">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现场工艺试验的有关约定：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0921ACC7">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697"/>
    <w:bookmarkEnd w:id="698"/>
    <w:bookmarkEnd w:id="699"/>
    <w:bookmarkEnd w:id="700"/>
    <w:bookmarkEnd w:id="701"/>
    <w:bookmarkEnd w:id="702"/>
    <w:bookmarkEnd w:id="703"/>
    <w:bookmarkEnd w:id="704"/>
    <w:p w14:paraId="4A04A1A5">
      <w:pPr>
        <w:pStyle w:val="5"/>
        <w:spacing w:before="120" w:after="120" w:line="360" w:lineRule="auto"/>
        <w:rPr>
          <w:rFonts w:ascii="Times New Roman" w:hAnsi="Times New Roman" w:eastAsia="黑体"/>
          <w:b w:val="0"/>
          <w:color w:val="000000"/>
          <w:sz w:val="32"/>
          <w:szCs w:val="32"/>
        </w:rPr>
      </w:pPr>
      <w:bookmarkStart w:id="705" w:name="_Toc351203642"/>
      <w:r>
        <w:rPr>
          <w:rFonts w:ascii="Times New Roman" w:hAnsi="Times New Roman" w:eastAsia="黑体"/>
          <w:b w:val="0"/>
          <w:color w:val="000000"/>
          <w:sz w:val="32"/>
          <w:szCs w:val="32"/>
        </w:rPr>
        <w:t>1</w:t>
      </w:r>
      <w:bookmarkEnd w:id="671"/>
      <w:bookmarkEnd w:id="672"/>
      <w:bookmarkEnd w:id="673"/>
      <w:bookmarkEnd w:id="674"/>
      <w:bookmarkEnd w:id="675"/>
      <w:bookmarkEnd w:id="676"/>
      <w:bookmarkEnd w:id="677"/>
      <w:bookmarkEnd w:id="678"/>
      <w:bookmarkEnd w:id="679"/>
      <w:bookmarkEnd w:id="680"/>
      <w:bookmarkEnd w:id="681"/>
      <w:bookmarkEnd w:id="682"/>
      <w:bookmarkStart w:id="706" w:name="_Toc296503193"/>
      <w:bookmarkStart w:id="707" w:name="_Toc296891021"/>
      <w:bookmarkStart w:id="708" w:name="_Toc296891233"/>
      <w:bookmarkStart w:id="709" w:name="_Toc296944532"/>
      <w:bookmarkStart w:id="710" w:name="_Toc297048379"/>
      <w:bookmarkStart w:id="711" w:name="_Toc297120493"/>
      <w:bookmarkStart w:id="712" w:name="_Toc297123540"/>
      <w:bookmarkStart w:id="713" w:name="_Toc292559398"/>
      <w:bookmarkStart w:id="714" w:name="_Toc296346694"/>
      <w:bookmarkStart w:id="715" w:name="_Toc292559903"/>
      <w:bookmarkStart w:id="716" w:name="_Toc296347192"/>
      <w:bookmarkStart w:id="717" w:name="_Toc303539146"/>
      <w:bookmarkStart w:id="718" w:name="_Toc304295566"/>
      <w:bookmarkStart w:id="719" w:name="_Toc297216199"/>
      <w:bookmarkStart w:id="720" w:name="_Toc300934989"/>
      <w:bookmarkStart w:id="721" w:name="_Toc312677499"/>
      <w:bookmarkStart w:id="722" w:name="_Toc312678025"/>
      <w:bookmarkStart w:id="723" w:name="_Toc267251437"/>
      <w:bookmarkStart w:id="724" w:name="_Toc267251441"/>
      <w:bookmarkStart w:id="725" w:name="_Toc267251433"/>
      <w:bookmarkStart w:id="726" w:name="_Toc267251440"/>
      <w:bookmarkStart w:id="727" w:name="_Toc267251439"/>
      <w:bookmarkStart w:id="728" w:name="_Toc267251435"/>
      <w:bookmarkStart w:id="729" w:name="_Toc267251442"/>
      <w:r>
        <w:rPr>
          <w:rFonts w:ascii="Times New Roman" w:hAnsi="Times New Roman" w:eastAsia="黑体"/>
          <w:b w:val="0"/>
          <w:color w:val="000000"/>
          <w:sz w:val="32"/>
          <w:szCs w:val="32"/>
        </w:rPr>
        <w:t>0. 变更</w:t>
      </w:r>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p>
    <w:bookmarkEnd w:id="721"/>
    <w:bookmarkEnd w:id="722"/>
    <w:p w14:paraId="12E1396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Start w:id="730" w:name="_Toc297123541"/>
      <w:bookmarkStart w:id="731" w:name="_Toc292559399"/>
      <w:bookmarkStart w:id="732" w:name="_Toc296346695"/>
      <w:bookmarkStart w:id="733" w:name="_Toc304295567"/>
      <w:bookmarkStart w:id="734" w:name="_Toc312677500"/>
      <w:bookmarkStart w:id="735" w:name="_Toc296347193"/>
      <w:bookmarkStart w:id="736" w:name="_Toc296944533"/>
      <w:bookmarkStart w:id="737" w:name="_Toc292559904"/>
      <w:bookmarkStart w:id="738" w:name="_Toc300934990"/>
      <w:bookmarkStart w:id="739" w:name="_Toc296891022"/>
      <w:bookmarkStart w:id="740" w:name="_Toc296503194"/>
      <w:bookmarkStart w:id="741" w:name="_Toc296891234"/>
      <w:bookmarkStart w:id="742" w:name="_Toc312678026"/>
      <w:bookmarkStart w:id="743" w:name="_Toc297216200"/>
      <w:bookmarkStart w:id="744" w:name="_Toc297048380"/>
      <w:bookmarkStart w:id="745" w:name="_Toc303539147"/>
      <w:bookmarkStart w:id="746" w:name="_Toc297120494"/>
      <w:r>
        <w:rPr>
          <w:rFonts w:ascii="Times New Roman" w:hAnsi="Times New Roman" w:eastAsia="黑体"/>
          <w:color w:val="000000"/>
          <w:sz w:val="30"/>
          <w:szCs w:val="32"/>
        </w:rPr>
        <w:t>0.1变更的范围</w:t>
      </w:r>
    </w:p>
    <w:p w14:paraId="035E1074">
      <w:pPr>
        <w:spacing w:line="360" w:lineRule="auto"/>
        <w:ind w:firstLine="6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关于变更的范围的约定：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686CCE7">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8D7AF58">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10.4 变更估价</w:t>
      </w:r>
    </w:p>
    <w:p w14:paraId="018DE60A">
      <w:pPr>
        <w:spacing w:line="360" w:lineRule="auto"/>
        <w:ind w:firstLine="600" w:firstLineChars="200"/>
        <w:jc w:val="left"/>
        <w:rPr>
          <w:rFonts w:hint="eastAsia" w:ascii="Times New Roman" w:hAnsi="Times New Roman" w:eastAsia="仿宋_GB2312"/>
          <w:sz w:val="30"/>
          <w:szCs w:val="32"/>
        </w:rPr>
      </w:pPr>
      <w:r>
        <w:rPr>
          <w:rFonts w:hint="eastAsia" w:ascii="Times New Roman" w:hAnsi="Times New Roman" w:eastAsia="仿宋_GB2312"/>
          <w:sz w:val="30"/>
          <w:szCs w:val="32"/>
        </w:rPr>
        <w:t>10.4.1 变更估价原则</w:t>
      </w:r>
    </w:p>
    <w:p w14:paraId="47FC6C69">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 xml:space="preserve">关于变更估价的约定: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2B96B5D">
      <w:pPr>
        <w:spacing w:line="360" w:lineRule="auto"/>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03B7A30">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w:t>
      </w:r>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Start w:id="747" w:name="_Toc296891237"/>
      <w:bookmarkStart w:id="748" w:name="_Toc296944536"/>
      <w:bookmarkStart w:id="749" w:name="_Toc297120497"/>
      <w:bookmarkStart w:id="750" w:name="_Toc296346698"/>
      <w:bookmarkStart w:id="751" w:name="_Toc303539150"/>
      <w:bookmarkStart w:id="752" w:name="_Toc296503197"/>
      <w:bookmarkStart w:id="753" w:name="_Toc296891025"/>
      <w:bookmarkStart w:id="754" w:name="_Toc297123544"/>
      <w:bookmarkStart w:id="755" w:name="_Toc292559402"/>
      <w:bookmarkStart w:id="756" w:name="_Toc297048383"/>
      <w:bookmarkStart w:id="757" w:name="_Toc300934993"/>
      <w:bookmarkStart w:id="758" w:name="_Toc296347196"/>
      <w:bookmarkStart w:id="759" w:name="_Toc297216203"/>
      <w:bookmarkStart w:id="760" w:name="_Toc292559907"/>
      <w:bookmarkStart w:id="761" w:name="_Toc312677503"/>
      <w:bookmarkStart w:id="762" w:name="_Toc312678029"/>
      <w:bookmarkStart w:id="763" w:name="_Toc304295570"/>
      <w:r>
        <w:rPr>
          <w:rFonts w:ascii="Times New Roman" w:hAnsi="Times New Roman" w:eastAsia="黑体"/>
          <w:color w:val="000000"/>
          <w:sz w:val="30"/>
          <w:szCs w:val="32"/>
        </w:rPr>
        <w:t>0.5承</w:t>
      </w:r>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Start w:id="764" w:name="_Toc292559408"/>
      <w:bookmarkStart w:id="765" w:name="_Toc297120503"/>
      <w:bookmarkStart w:id="766" w:name="_Toc296891243"/>
      <w:bookmarkStart w:id="767" w:name="_Toc297123545"/>
      <w:bookmarkStart w:id="768" w:name="_Toc300934994"/>
      <w:bookmarkStart w:id="769" w:name="_Toc292559913"/>
      <w:bookmarkStart w:id="770" w:name="_Toc296944542"/>
      <w:bookmarkStart w:id="771" w:name="_Toc296346704"/>
      <w:bookmarkStart w:id="772" w:name="_Toc303539151"/>
      <w:bookmarkStart w:id="773" w:name="_Toc296347202"/>
      <w:bookmarkStart w:id="774" w:name="_Toc297216204"/>
      <w:bookmarkStart w:id="775" w:name="_Toc297048389"/>
      <w:bookmarkStart w:id="776" w:name="_Toc296891031"/>
      <w:bookmarkStart w:id="777" w:name="_Toc296503203"/>
      <w:r>
        <w:rPr>
          <w:rFonts w:ascii="Times New Roman" w:hAnsi="Times New Roman" w:eastAsia="黑体"/>
          <w:color w:val="000000"/>
          <w:sz w:val="30"/>
          <w:szCs w:val="32"/>
        </w:rPr>
        <w:t>包人的合理化建议</w:t>
      </w:r>
    </w:p>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p w14:paraId="69972A4E">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监理人审查承包人合理化建议的期限：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7A153F3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发包人审批承包人合理化建议的期限：</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662B5A9F">
      <w:pPr>
        <w:spacing w:line="360" w:lineRule="auto"/>
        <w:ind w:firstLine="600" w:firstLineChars="200"/>
        <w:jc w:val="left"/>
        <w:rPr>
          <w:rFonts w:hint="eastAsia" w:ascii="Times New Roman" w:hAnsi="Times New Roman" w:eastAsia="仿宋_GB2312"/>
          <w:sz w:val="30"/>
          <w:szCs w:val="32"/>
          <w:u w:val="single"/>
        </w:rPr>
      </w:pPr>
      <w:r>
        <w:rPr>
          <w:rFonts w:ascii="Times New Roman" w:hAnsi="Times New Roman" w:eastAsia="仿宋_GB2312"/>
          <w:sz w:val="30"/>
          <w:szCs w:val="32"/>
        </w:rPr>
        <w:t>承</w:t>
      </w:r>
      <w:bookmarkStart w:id="778" w:name="_Toc297216205"/>
      <w:bookmarkStart w:id="779" w:name="_Toc296944543"/>
      <w:bookmarkStart w:id="780" w:name="_Toc318581175"/>
      <w:bookmarkStart w:id="781" w:name="_Toc304295571"/>
      <w:bookmarkStart w:id="782" w:name="_Toc296503204"/>
      <w:bookmarkStart w:id="783" w:name="_Toc297123546"/>
      <w:bookmarkStart w:id="784" w:name="_Toc312677504"/>
      <w:bookmarkStart w:id="785" w:name="_Toc303539152"/>
      <w:bookmarkStart w:id="786" w:name="_Toc312678030"/>
      <w:bookmarkStart w:id="787" w:name="_Toc296891032"/>
      <w:bookmarkStart w:id="788" w:name="_Toc292559409"/>
      <w:bookmarkStart w:id="789" w:name="_Toc297048390"/>
      <w:bookmarkStart w:id="790" w:name="_Toc296346705"/>
      <w:bookmarkStart w:id="791" w:name="_Toc300934995"/>
      <w:bookmarkStart w:id="792" w:name="_Toc296891244"/>
      <w:bookmarkStart w:id="793" w:name="_Toc292559914"/>
      <w:bookmarkStart w:id="794" w:name="_Toc297120504"/>
      <w:bookmarkStart w:id="795" w:name="_Toc296347203"/>
      <w:r>
        <w:rPr>
          <w:rFonts w:ascii="Times New Roman" w:hAnsi="Times New Roman" w:eastAsia="仿宋_GB2312"/>
          <w:sz w:val="30"/>
          <w:szCs w:val="32"/>
        </w:rPr>
        <w:t>包人提出的合理化建议降低了合同价格或者提高了工程经济效益的奖励的方法和金额为：</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p>
    <w:p w14:paraId="4CE19B9E">
      <w:pPr>
        <w:spacing w:line="360" w:lineRule="auto"/>
        <w:jc w:val="left"/>
        <w:rPr>
          <w:rFonts w:ascii="Times New Roman" w:hAnsi="Times New Roman" w:eastAsia="仿宋_GB2312"/>
          <w:sz w:val="30"/>
          <w:szCs w:val="32"/>
          <w:u w:val="single"/>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14:paraId="0EB7AF7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w:t>
      </w:r>
      <w:bookmarkStart w:id="796" w:name="_Toc303539154"/>
      <w:bookmarkStart w:id="797" w:name="_Toc312678033"/>
      <w:bookmarkStart w:id="798" w:name="_Toc292559404"/>
      <w:bookmarkStart w:id="799" w:name="_Toc304295574"/>
      <w:bookmarkStart w:id="800" w:name="_Toc296346700"/>
      <w:bookmarkStart w:id="801" w:name="_Toc300934997"/>
      <w:bookmarkStart w:id="802" w:name="_Toc297123548"/>
      <w:bookmarkStart w:id="803" w:name="_Toc296891027"/>
      <w:bookmarkStart w:id="804" w:name="_Toc292559909"/>
      <w:bookmarkStart w:id="805" w:name="_Toc312677507"/>
      <w:bookmarkStart w:id="806" w:name="_Toc297120499"/>
      <w:bookmarkStart w:id="807" w:name="_Toc297216207"/>
      <w:bookmarkStart w:id="808" w:name="_Toc296944538"/>
      <w:bookmarkStart w:id="809" w:name="_Toc296503199"/>
      <w:bookmarkStart w:id="810" w:name="_Toc297048385"/>
      <w:bookmarkStart w:id="811" w:name="_Toc296891239"/>
      <w:bookmarkStart w:id="812" w:name="_Toc296347198"/>
      <w:r>
        <w:rPr>
          <w:rFonts w:ascii="Times New Roman" w:hAnsi="Times New Roman" w:eastAsia="黑体"/>
          <w:color w:val="000000"/>
          <w:sz w:val="30"/>
          <w:szCs w:val="32"/>
        </w:rPr>
        <w:t>0.7 暂估价</w:t>
      </w:r>
    </w:p>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p w14:paraId="345069D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kern w:val="0"/>
          <w:sz w:val="30"/>
          <w:szCs w:val="32"/>
        </w:rPr>
        <w:t>暂</w:t>
      </w:r>
      <w:bookmarkStart w:id="813" w:name="_Toc318581176"/>
      <w:bookmarkStart w:id="814" w:name="_Toc312677508"/>
      <w:bookmarkStart w:id="815" w:name="_Toc312678034"/>
      <w:r>
        <w:rPr>
          <w:rFonts w:ascii="Times New Roman" w:hAnsi="Times New Roman" w:eastAsia="仿宋_GB2312"/>
          <w:kern w:val="0"/>
          <w:sz w:val="30"/>
          <w:szCs w:val="32"/>
        </w:rPr>
        <w:t>估价材料和工程设备的明细详见附件</w:t>
      </w:r>
      <w:r>
        <w:rPr>
          <w:rFonts w:hint="eastAsia" w:ascii="Times New Roman" w:hAnsi="Times New Roman" w:eastAsia="仿宋_GB2312"/>
          <w:kern w:val="0"/>
          <w:sz w:val="30"/>
          <w:szCs w:val="32"/>
        </w:rPr>
        <w:t>11：《</w:t>
      </w:r>
      <w:r>
        <w:rPr>
          <w:rFonts w:ascii="Times New Roman" w:hAnsi="Times New Roman" w:eastAsia="仿宋_GB2312"/>
          <w:color w:val="000000"/>
          <w:sz w:val="30"/>
          <w:szCs w:val="32"/>
        </w:rPr>
        <w:t>暂估价一览表</w:t>
      </w:r>
      <w:r>
        <w:rPr>
          <w:rFonts w:hint="eastAsia" w:ascii="Times New Roman" w:hAnsi="Times New Roman" w:eastAsia="仿宋_GB2312"/>
          <w:color w:val="000000"/>
          <w:sz w:val="30"/>
          <w:szCs w:val="32"/>
        </w:rPr>
        <w:t>》</w:t>
      </w:r>
      <w:r>
        <w:rPr>
          <w:rFonts w:hint="eastAsia" w:ascii="Times New Roman" w:hAnsi="Times New Roman" w:eastAsia="仿宋_GB2312"/>
          <w:kern w:val="0"/>
          <w:sz w:val="30"/>
          <w:szCs w:val="32"/>
        </w:rPr>
        <w:t>。</w:t>
      </w:r>
    </w:p>
    <w:bookmarkEnd w:id="813"/>
    <w:bookmarkEnd w:id="814"/>
    <w:bookmarkEnd w:id="815"/>
    <w:p w14:paraId="1D635FB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w:t>
      </w:r>
      <w:bookmarkStart w:id="816" w:name="_Toc318581177"/>
      <w:bookmarkStart w:id="817" w:name="_Toc312677509"/>
      <w:bookmarkStart w:id="818" w:name="_Toc312678035"/>
      <w:r>
        <w:rPr>
          <w:rFonts w:ascii="Times New Roman" w:hAnsi="Times New Roman" w:eastAsia="仿宋_GB2312"/>
          <w:sz w:val="30"/>
          <w:szCs w:val="32"/>
        </w:rPr>
        <w:t>0.7.1 依法必须招标的暂估价项目</w:t>
      </w:r>
    </w:p>
    <w:bookmarkEnd w:id="816"/>
    <w:bookmarkEnd w:id="817"/>
    <w:bookmarkEnd w:id="818"/>
    <w:p w14:paraId="5A380E56">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对于依法必须招标的暂估价项目的确认和批准采取第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种方式确定。</w:t>
      </w:r>
    </w:p>
    <w:p w14:paraId="44439123">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10.7.2 不属于依法必须招标的暂估价项目</w:t>
      </w:r>
    </w:p>
    <w:p w14:paraId="25BF27A6">
      <w:pPr>
        <w:spacing w:line="360" w:lineRule="auto"/>
        <w:ind w:firstLine="600" w:firstLineChars="200"/>
        <w:jc w:val="left"/>
        <w:rPr>
          <w:rFonts w:hint="eastAsia" w:ascii="Times New Roman" w:hAnsi="Times New Roman" w:eastAsia="仿宋_GB2312"/>
          <w:sz w:val="30"/>
          <w:szCs w:val="32"/>
        </w:rPr>
      </w:pPr>
      <w:r>
        <w:rPr>
          <w:rFonts w:ascii="Times New Roman" w:hAnsi="Times New Roman" w:eastAsia="仿宋_GB2312"/>
          <w:sz w:val="30"/>
          <w:szCs w:val="32"/>
        </w:rPr>
        <w:t>对于不属于依法必须招标的暂估价项目的确认和批准采取第</w:t>
      </w:r>
      <w:r>
        <w:rPr>
          <w:rFonts w:ascii="Times New Roman" w:hAnsi="Times New Roman" w:eastAsia="仿宋_GB2312"/>
          <w:sz w:val="30"/>
          <w:szCs w:val="32"/>
          <w:u w:val="single"/>
        </w:rPr>
        <w:t xml:space="preserve">   </w:t>
      </w:r>
      <w:r>
        <w:rPr>
          <w:rFonts w:ascii="Times New Roman" w:hAnsi="Times New Roman" w:eastAsia="仿宋_GB2312"/>
          <w:sz w:val="30"/>
          <w:szCs w:val="32"/>
        </w:rPr>
        <w:t xml:space="preserve"> 种方式确定。</w:t>
      </w:r>
    </w:p>
    <w:p w14:paraId="498BB7B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第3种方式：</w:t>
      </w:r>
      <w:r>
        <w:rPr>
          <w:rFonts w:ascii="Times New Roman" w:hAnsi="Times New Roman" w:eastAsia="仿宋_GB2312"/>
          <w:color w:val="000000"/>
          <w:kern w:val="0"/>
          <w:sz w:val="30"/>
          <w:szCs w:val="32"/>
        </w:rPr>
        <w:t>承包人直接实施的暂估价项目</w:t>
      </w:r>
    </w:p>
    <w:p w14:paraId="748DAF78">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承包人直接实施的暂估价项目的约定：</w:t>
      </w:r>
      <w:r>
        <w:rPr>
          <w:rFonts w:ascii="Times New Roman" w:hAnsi="Times New Roman" w:eastAsia="仿宋_GB2312"/>
          <w:sz w:val="30"/>
          <w:szCs w:val="32"/>
          <w:u w:val="single"/>
        </w:rPr>
        <w:t xml:space="preserve">                     </w:t>
      </w:r>
    </w:p>
    <w:p w14:paraId="50AF0955">
      <w:pPr>
        <w:spacing w:line="360" w:lineRule="auto"/>
        <w:jc w:val="left"/>
        <w:rPr>
          <w:rFonts w:hint="eastAsia" w:ascii="Times New Roman" w:hAnsi="Times New Roman" w:eastAsia="仿宋_GB2312"/>
          <w:sz w:val="30"/>
          <w:szCs w:val="32"/>
        </w:rPr>
      </w:pPr>
      <w:r>
        <w:rPr>
          <w:rFonts w:hint="eastAsia" w:ascii="Times New Roman" w:hAnsi="Times New Roman" w:eastAsia="仿宋_GB2312"/>
          <w:sz w:val="30"/>
          <w:szCs w:val="32"/>
          <w:u w:val="single"/>
        </w:rPr>
        <w:t xml:space="preserve">                                                      </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597330E8">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10.8 暂列金额</w:t>
      </w:r>
    </w:p>
    <w:p w14:paraId="25ACE374">
      <w:pPr>
        <w:autoSpaceDE w:val="0"/>
        <w:autoSpaceDN w:val="0"/>
        <w:adjustRightInd w:val="0"/>
        <w:spacing w:line="360" w:lineRule="auto"/>
        <w:ind w:firstLine="600" w:firstLineChars="200"/>
        <w:jc w:val="left"/>
        <w:rPr>
          <w:rFonts w:hint="eastAsia" w:ascii="Times New Roman" w:hAnsi="Times New Roman" w:eastAsia="仿宋_GB2312"/>
          <w:sz w:val="30"/>
          <w:szCs w:val="32"/>
          <w:u w:val="single"/>
        </w:rPr>
      </w:pPr>
      <w:r>
        <w:rPr>
          <w:rFonts w:hint="eastAsia" w:ascii="Times New Roman" w:hAnsi="Times New Roman" w:eastAsia="仿宋_GB2312"/>
          <w:color w:val="000000"/>
          <w:kern w:val="0"/>
          <w:sz w:val="30"/>
          <w:szCs w:val="32"/>
        </w:rPr>
        <w:t>合同当事人关于暂列金额使用的约定：</w:t>
      </w:r>
      <w:r>
        <w:rPr>
          <w:rFonts w:ascii="Times New Roman" w:hAnsi="Times New Roman" w:eastAsia="仿宋_GB2312"/>
          <w:sz w:val="30"/>
          <w:szCs w:val="32"/>
          <w:u w:val="single"/>
        </w:rPr>
        <w:t xml:space="preserve">               </w:t>
      </w:r>
      <w:r>
        <w:rPr>
          <w:rFonts w:hint="eastAsia" w:ascii="Times New Roman" w:hAnsi="Times New Roman" w:eastAsia="仿宋_GB2312"/>
          <w:sz w:val="30"/>
          <w:szCs w:val="32"/>
          <w:u w:val="single"/>
        </w:rPr>
        <w:t xml:space="preserve">      </w:t>
      </w:r>
    </w:p>
    <w:p w14:paraId="7A4B2BF6">
      <w:pPr>
        <w:autoSpaceDE w:val="0"/>
        <w:autoSpaceDN w:val="0"/>
        <w:adjustRightInd w:val="0"/>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sz w:val="30"/>
          <w:szCs w:val="32"/>
          <w:u w:val="single"/>
        </w:rPr>
        <w:t xml:space="preserve">                                                         </w:t>
      </w:r>
      <w:r>
        <w:rPr>
          <w:rFonts w:hint="eastAsia" w:ascii="Times New Roman" w:hAnsi="Times New Roman" w:eastAsia="仿宋_GB2312"/>
          <w:color w:val="000000"/>
          <w:kern w:val="0"/>
          <w:sz w:val="30"/>
          <w:szCs w:val="32"/>
        </w:rPr>
        <w:t>。</w:t>
      </w:r>
    </w:p>
    <w:p w14:paraId="5B52A49F">
      <w:pPr>
        <w:pStyle w:val="5"/>
        <w:spacing w:before="120" w:after="120" w:line="360" w:lineRule="auto"/>
        <w:rPr>
          <w:rFonts w:ascii="Times New Roman" w:hAnsi="Times New Roman" w:eastAsia="黑体"/>
          <w:b w:val="0"/>
          <w:color w:val="000000"/>
          <w:sz w:val="32"/>
          <w:szCs w:val="32"/>
        </w:rPr>
      </w:pPr>
      <w:bookmarkStart w:id="819" w:name="_Toc351203643"/>
      <w:r>
        <w:rPr>
          <w:rFonts w:ascii="Times New Roman" w:hAnsi="Times New Roman" w:eastAsia="黑体"/>
          <w:b w:val="0"/>
          <w:color w:val="000000"/>
          <w:sz w:val="32"/>
          <w:szCs w:val="32"/>
        </w:rPr>
        <w:t>11. 价格调整</w:t>
      </w:r>
      <w:bookmarkEnd w:id="819"/>
    </w:p>
    <w:p w14:paraId="0E0E89EC">
      <w:pPr>
        <w:spacing w:after="120" w:line="360" w:lineRule="auto"/>
        <w:ind w:firstLine="600" w:firstLineChars="200"/>
        <w:rPr>
          <w:rFonts w:ascii="Times New Roman" w:hAnsi="Times New Roman" w:eastAsia="黑体"/>
          <w:color w:val="000000"/>
          <w:sz w:val="30"/>
          <w:szCs w:val="32"/>
        </w:rPr>
      </w:pPr>
      <w:bookmarkStart w:id="820" w:name="_Toc296503201"/>
      <w:bookmarkStart w:id="821" w:name="_Toc297120501"/>
      <w:bookmarkStart w:id="822" w:name="_Toc292559406"/>
      <w:bookmarkStart w:id="823" w:name="_Toc292559911"/>
      <w:bookmarkStart w:id="824" w:name="_Toc296944540"/>
      <w:bookmarkStart w:id="825" w:name="_Toc312678039"/>
      <w:bookmarkStart w:id="826" w:name="_Toc297048387"/>
      <w:bookmarkStart w:id="827" w:name="_Toc297123550"/>
      <w:bookmarkStart w:id="828" w:name="_Toc296346702"/>
      <w:bookmarkStart w:id="829" w:name="_Toc296891029"/>
      <w:bookmarkStart w:id="830" w:name="_Toc296891241"/>
      <w:bookmarkStart w:id="831" w:name="_Toc300935000"/>
      <w:bookmarkStart w:id="832" w:name="_Toc303539157"/>
      <w:bookmarkStart w:id="833" w:name="_Toc304295577"/>
      <w:bookmarkStart w:id="834" w:name="_Toc297216209"/>
      <w:bookmarkStart w:id="835" w:name="_Toc296347200"/>
      <w:r>
        <w:rPr>
          <w:rFonts w:ascii="Times New Roman" w:hAnsi="Times New Roman" w:eastAsia="黑体"/>
          <w:color w:val="000000"/>
          <w:sz w:val="30"/>
          <w:szCs w:val="32"/>
        </w:rPr>
        <w:t>11.1 市场价格波动引起的调整</w:t>
      </w:r>
    </w:p>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p w14:paraId="438314F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kern w:val="0"/>
          <w:sz w:val="30"/>
          <w:szCs w:val="32"/>
        </w:rPr>
        <w:t>市场价格波动是否调整合同价格的约定：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1F5918A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因市场价格波动调整合同价格，采用以下</w:t>
      </w:r>
      <w:r>
        <w:rPr>
          <w:rFonts w:ascii="Times New Roman" w:hAnsi="Times New Roman" w:eastAsia="仿宋_GB2312"/>
          <w:sz w:val="30"/>
          <w:szCs w:val="32"/>
        </w:rPr>
        <w:t>第</w:t>
      </w:r>
      <w:r>
        <w:rPr>
          <w:rFonts w:ascii="Times New Roman" w:hAnsi="Times New Roman" w:eastAsia="仿宋_GB2312"/>
          <w:sz w:val="30"/>
          <w:szCs w:val="32"/>
          <w:u w:val="single"/>
        </w:rPr>
        <w:t xml:space="preserve">    </w:t>
      </w:r>
      <w:r>
        <w:rPr>
          <w:rFonts w:ascii="Times New Roman" w:hAnsi="Times New Roman" w:eastAsia="仿宋_GB2312"/>
          <w:color w:val="000000"/>
          <w:sz w:val="30"/>
          <w:szCs w:val="32"/>
        </w:rPr>
        <w:t>种方式对合同价格进行调整：</w:t>
      </w:r>
    </w:p>
    <w:p w14:paraId="2191583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第1种方式：采用价格指数</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021A0276">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关于各可调因子、定值和变值权重，以及基本价格指数及其来源的约定：</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64895A3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第2种方式：采用造价信息</w:t>
      </w:r>
      <w:r>
        <w:rPr>
          <w:rFonts w:hint="eastAsia" w:ascii="Times New Roman" w:hAnsi="Times New Roman" w:eastAsia="仿宋_GB2312"/>
          <w:color w:val="000000"/>
          <w:sz w:val="30"/>
          <w:szCs w:val="32"/>
        </w:rPr>
        <w:t>进行价格</w:t>
      </w:r>
      <w:r>
        <w:rPr>
          <w:rFonts w:ascii="Times New Roman" w:hAnsi="Times New Roman" w:eastAsia="仿宋_GB2312"/>
          <w:color w:val="000000"/>
          <w:sz w:val="30"/>
          <w:szCs w:val="32"/>
        </w:rPr>
        <w:t>调整。</w:t>
      </w:r>
    </w:p>
    <w:p w14:paraId="24BD292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（2）关于基准价格的约定：</w:t>
      </w:r>
      <w:r>
        <w:rPr>
          <w:rFonts w:ascii="Times New Roman" w:hAnsi="Times New Roman" w:eastAsia="仿宋_GB2312"/>
          <w:sz w:val="30"/>
          <w:szCs w:val="32"/>
          <w:u w:val="single"/>
        </w:rPr>
        <w:t xml:space="preserve">                         </w:t>
      </w:r>
      <w:r>
        <w:rPr>
          <w:rFonts w:ascii="Times New Roman" w:hAnsi="Times New Roman" w:eastAsia="仿宋_GB2312"/>
          <w:sz w:val="30"/>
          <w:szCs w:val="32"/>
        </w:rPr>
        <w:t>。</w:t>
      </w:r>
    </w:p>
    <w:p w14:paraId="4A1C952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专用合同条款</w:t>
      </w:r>
      <w:r>
        <w:rPr>
          <w:rFonts w:hint="eastAsia" w:ascii="宋体" w:hAnsi="宋体" w:cs="宋体"/>
          <w:color w:val="000000"/>
          <w:sz w:val="30"/>
          <w:szCs w:val="32"/>
        </w:rPr>
        <w:t>①</w:t>
      </w:r>
      <w:r>
        <w:rPr>
          <w:rFonts w:ascii="Times New Roman" w:hAnsi="Times New Roman" w:eastAsia="仿宋_GB2312"/>
          <w:color w:val="000000"/>
          <w:sz w:val="30"/>
          <w:szCs w:val="32"/>
        </w:rPr>
        <w:t>承包人在已标价工程量清单或预算书中载明的材料单价低于基准价格的：专用合同条款合同履行期间材料单价涨幅以基准价格为基础超过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%时，或材料单价跌幅以已标价工程量清单或预算书中载明材料单价为基础超过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0C28B491">
      <w:pPr>
        <w:spacing w:line="360" w:lineRule="auto"/>
        <w:ind w:firstLine="600" w:firstLineChars="200"/>
        <w:jc w:val="left"/>
        <w:rPr>
          <w:rFonts w:ascii="Times New Roman" w:hAnsi="Times New Roman" w:eastAsia="仿宋_GB2312"/>
          <w:color w:val="000000"/>
          <w:sz w:val="30"/>
          <w:szCs w:val="32"/>
        </w:rPr>
      </w:pPr>
      <w:r>
        <w:rPr>
          <w:rFonts w:hint="eastAsia" w:ascii="宋体" w:hAnsi="宋体" w:cs="宋体"/>
          <w:color w:val="000000"/>
          <w:sz w:val="30"/>
          <w:szCs w:val="32"/>
        </w:rPr>
        <w:t>②</w:t>
      </w:r>
      <w:r>
        <w:rPr>
          <w:rFonts w:ascii="Times New Roman" w:hAnsi="Times New Roman" w:eastAsia="仿宋_GB2312"/>
          <w:color w:val="000000"/>
          <w:sz w:val="30"/>
          <w:szCs w:val="32"/>
        </w:rPr>
        <w:t>承包人在已标价工程量清单或预算书中载明的材料单价高于基准价格的：专用合同条款合同履行期间材料单价跌幅以基准价格为基础超过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%时，材料单价涨幅以已标价工程量清单或预算书中载明材料单价为基础超过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0837739B">
      <w:pPr>
        <w:spacing w:line="360" w:lineRule="auto"/>
        <w:ind w:firstLine="645"/>
        <w:jc w:val="left"/>
        <w:rPr>
          <w:rFonts w:ascii="Times New Roman" w:hAnsi="Times New Roman" w:eastAsia="仿宋_GB2312"/>
          <w:color w:val="000000"/>
          <w:sz w:val="30"/>
          <w:szCs w:val="32"/>
        </w:rPr>
      </w:pPr>
      <w:r>
        <w:rPr>
          <w:rFonts w:hint="eastAsia" w:ascii="宋体" w:hAnsi="宋体" w:cs="宋体"/>
          <w:color w:val="000000"/>
          <w:sz w:val="30"/>
          <w:szCs w:val="32"/>
        </w:rPr>
        <w:t>③</w:t>
      </w:r>
      <w:r>
        <w:rPr>
          <w:rFonts w:ascii="Times New Roman" w:hAnsi="Times New Roman" w:eastAsia="仿宋_GB2312"/>
          <w:color w:val="000000"/>
          <w:sz w:val="30"/>
          <w:szCs w:val="32"/>
        </w:rPr>
        <w:t>承包人在已标价工程量清单或预算书中载明的材料单价等于基准单价的：专用合同条款合同履行期间材料单价涨跌幅以基准单价为基础超过±</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%时，其超过部分据实调整。</w:t>
      </w:r>
    </w:p>
    <w:p w14:paraId="402979FF">
      <w:pPr>
        <w:spacing w:line="360" w:lineRule="auto"/>
        <w:ind w:firstLine="645"/>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第3种方式：其他价格调整方式：</w:t>
      </w:r>
      <w:r>
        <w:rPr>
          <w:rFonts w:ascii="Times New Roman" w:hAnsi="Times New Roman" w:eastAsia="仿宋_GB2312"/>
          <w:color w:val="000000"/>
          <w:sz w:val="30"/>
          <w:szCs w:val="32"/>
          <w:u w:val="single"/>
        </w:rPr>
        <w:t xml:space="preserve">                        </w:t>
      </w:r>
    </w:p>
    <w:p w14:paraId="17E9FBB4">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3"/>
    <w:bookmarkEnd w:id="724"/>
    <w:bookmarkEnd w:id="725"/>
    <w:bookmarkEnd w:id="726"/>
    <w:bookmarkEnd w:id="727"/>
    <w:bookmarkEnd w:id="728"/>
    <w:p w14:paraId="2BC2106E">
      <w:pPr>
        <w:pStyle w:val="5"/>
        <w:spacing w:before="120" w:after="120" w:line="360" w:lineRule="auto"/>
        <w:rPr>
          <w:rFonts w:ascii="Times New Roman" w:hAnsi="Times New Roman" w:eastAsia="黑体"/>
          <w:b w:val="0"/>
          <w:color w:val="000000"/>
          <w:sz w:val="32"/>
          <w:szCs w:val="32"/>
        </w:rPr>
      </w:pPr>
      <w:bookmarkStart w:id="836" w:name="_Toc292559915"/>
      <w:bookmarkStart w:id="837" w:name="_Toc296346706"/>
      <w:bookmarkStart w:id="838" w:name="_Toc297048391"/>
      <w:bookmarkStart w:id="839" w:name="_Toc296944544"/>
      <w:bookmarkStart w:id="840" w:name="_Toc296891033"/>
      <w:bookmarkStart w:id="841" w:name="_Toc296347204"/>
      <w:bookmarkStart w:id="842" w:name="_Toc296503205"/>
      <w:bookmarkStart w:id="843" w:name="_Toc297120505"/>
      <w:bookmarkStart w:id="844" w:name="_Toc296891245"/>
      <w:bookmarkStart w:id="845" w:name="_Toc292559410"/>
      <w:bookmarkStart w:id="846" w:name="_Toc351203644"/>
      <w:bookmarkStart w:id="847" w:name="_Toc312678040"/>
      <w:bookmarkStart w:id="848" w:name="_Toc297123552"/>
      <w:bookmarkStart w:id="849" w:name="_Toc304295579"/>
      <w:bookmarkStart w:id="850" w:name="_Toc303539159"/>
      <w:bookmarkStart w:id="851" w:name="_Toc300935002"/>
      <w:bookmarkStart w:id="852" w:name="_Toc297216211"/>
      <w:r>
        <w:rPr>
          <w:rFonts w:ascii="Times New Roman" w:hAnsi="Times New Roman" w:eastAsia="黑体"/>
          <w:b w:val="0"/>
          <w:color w:val="000000"/>
          <w:sz w:val="32"/>
          <w:szCs w:val="32"/>
        </w:rPr>
        <w:t xml:space="preserve">12. </w:t>
      </w:r>
      <w:bookmarkEnd w:id="836"/>
      <w:bookmarkEnd w:id="837"/>
      <w:bookmarkEnd w:id="838"/>
      <w:bookmarkEnd w:id="839"/>
      <w:bookmarkEnd w:id="840"/>
      <w:bookmarkEnd w:id="841"/>
      <w:bookmarkEnd w:id="842"/>
      <w:bookmarkEnd w:id="843"/>
      <w:bookmarkEnd w:id="844"/>
      <w:bookmarkEnd w:id="845"/>
      <w:r>
        <w:rPr>
          <w:rFonts w:ascii="Times New Roman" w:hAnsi="Times New Roman" w:eastAsia="黑体"/>
          <w:b w:val="0"/>
          <w:color w:val="000000"/>
          <w:sz w:val="32"/>
          <w:szCs w:val="32"/>
        </w:rPr>
        <w:t>合同价格、计量与支付</w:t>
      </w:r>
      <w:bookmarkEnd w:id="846"/>
    </w:p>
    <w:bookmarkEnd w:id="847"/>
    <w:bookmarkEnd w:id="848"/>
    <w:bookmarkEnd w:id="849"/>
    <w:bookmarkEnd w:id="850"/>
    <w:bookmarkEnd w:id="851"/>
    <w:bookmarkEnd w:id="852"/>
    <w:p w14:paraId="5FA22697">
      <w:pPr>
        <w:spacing w:after="120" w:line="360" w:lineRule="auto"/>
        <w:ind w:firstLine="600" w:firstLineChars="200"/>
        <w:rPr>
          <w:rFonts w:ascii="Times New Roman" w:hAnsi="Times New Roman" w:eastAsia="黑体"/>
          <w:color w:val="000000"/>
          <w:sz w:val="30"/>
          <w:szCs w:val="32"/>
        </w:rPr>
      </w:pPr>
      <w:bookmarkStart w:id="853" w:name="_Toc292559916"/>
      <w:bookmarkStart w:id="854" w:name="_Toc267251461"/>
      <w:bookmarkStart w:id="855" w:name="_Toc292559411"/>
      <w:bookmarkStart w:id="856" w:name="_Toc296503206"/>
      <w:bookmarkStart w:id="857" w:name="_Toc296891246"/>
      <w:bookmarkStart w:id="858" w:name="_Toc296944545"/>
      <w:bookmarkStart w:id="859" w:name="_Toc296346707"/>
      <w:bookmarkStart w:id="860" w:name="_Toc296347205"/>
      <w:bookmarkStart w:id="861" w:name="_Toc297048392"/>
      <w:bookmarkStart w:id="862" w:name="_Toc296891034"/>
      <w:bookmarkStart w:id="863" w:name="_Toc297120506"/>
      <w:bookmarkStart w:id="864" w:name="_Toc304295580"/>
      <w:bookmarkStart w:id="865" w:name="_Toc297123553"/>
      <w:bookmarkStart w:id="866" w:name="_Toc300935003"/>
      <w:bookmarkStart w:id="867" w:name="_Toc303539160"/>
      <w:bookmarkStart w:id="868" w:name="_Toc297216212"/>
      <w:bookmarkStart w:id="869" w:name="_Toc312678041"/>
      <w:r>
        <w:rPr>
          <w:rFonts w:ascii="Times New Roman" w:hAnsi="Times New Roman" w:eastAsia="黑体"/>
          <w:color w:val="000000"/>
          <w:sz w:val="30"/>
          <w:szCs w:val="32"/>
        </w:rPr>
        <w:t>12.1 合</w:t>
      </w:r>
      <w:bookmarkEnd w:id="853"/>
      <w:bookmarkEnd w:id="854"/>
      <w:bookmarkEnd w:id="855"/>
      <w:r>
        <w:rPr>
          <w:rFonts w:ascii="Times New Roman" w:hAnsi="Times New Roman" w:eastAsia="黑体"/>
          <w:color w:val="000000"/>
          <w:sz w:val="30"/>
          <w:szCs w:val="32"/>
        </w:rPr>
        <w:t>同价</w:t>
      </w:r>
      <w:bookmarkEnd w:id="856"/>
      <w:bookmarkEnd w:id="857"/>
      <w:bookmarkEnd w:id="858"/>
      <w:bookmarkEnd w:id="859"/>
      <w:bookmarkEnd w:id="860"/>
      <w:bookmarkEnd w:id="861"/>
      <w:bookmarkEnd w:id="862"/>
      <w:bookmarkEnd w:id="863"/>
      <w:r>
        <w:rPr>
          <w:rFonts w:ascii="Times New Roman" w:hAnsi="Times New Roman" w:eastAsia="黑体"/>
          <w:color w:val="000000"/>
          <w:sz w:val="30"/>
          <w:szCs w:val="32"/>
        </w:rPr>
        <w:t>格形式</w:t>
      </w:r>
    </w:p>
    <w:bookmarkEnd w:id="864"/>
    <w:bookmarkEnd w:id="865"/>
    <w:bookmarkEnd w:id="866"/>
    <w:bookmarkEnd w:id="867"/>
    <w:bookmarkEnd w:id="868"/>
    <w:bookmarkEnd w:id="869"/>
    <w:p w14:paraId="6F592BE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w:t>
      </w:r>
    </w:p>
    <w:p w14:paraId="728E271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综合单价包含的风险范围：</w:t>
      </w:r>
      <w:r>
        <w:rPr>
          <w:rFonts w:ascii="Times New Roman" w:hAnsi="Times New Roman" w:eastAsia="仿宋_GB2312"/>
          <w:color w:val="000000"/>
          <w:sz w:val="30"/>
          <w:szCs w:val="32"/>
          <w:u w:val="single"/>
        </w:rPr>
        <w:t xml:space="preserve">                               </w:t>
      </w:r>
    </w:p>
    <w:p w14:paraId="3D19244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81D8B1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p>
    <w:p w14:paraId="113E5AEC">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178CB9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3296364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0FF13F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w:t>
      </w:r>
    </w:p>
    <w:p w14:paraId="179F340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总价包含的风险范围：</w:t>
      </w:r>
      <w:r>
        <w:rPr>
          <w:rFonts w:ascii="Times New Roman" w:hAnsi="Times New Roman" w:eastAsia="仿宋_GB2312"/>
          <w:color w:val="000000"/>
          <w:sz w:val="30"/>
          <w:szCs w:val="32"/>
          <w:u w:val="single"/>
        </w:rPr>
        <w:t xml:space="preserve">                                   </w:t>
      </w:r>
    </w:p>
    <w:p w14:paraId="21829FE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6036555">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风险费用的计算方法：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678108FD">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2DFE83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风险范围以外合同价格的调整方法：</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066AE8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89AE37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3、其他价格方式：</w:t>
      </w:r>
      <w:r>
        <w:rPr>
          <w:rFonts w:ascii="Times New Roman" w:hAnsi="Times New Roman" w:eastAsia="仿宋_GB2312"/>
          <w:color w:val="000000"/>
          <w:sz w:val="30"/>
          <w:szCs w:val="32"/>
          <w:u w:val="single"/>
        </w:rPr>
        <w:t xml:space="preserve">                                     </w:t>
      </w:r>
    </w:p>
    <w:p w14:paraId="6103ABB8">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A32B2DE">
      <w:pPr>
        <w:spacing w:after="120" w:line="360" w:lineRule="auto"/>
        <w:ind w:firstLine="600" w:firstLineChars="200"/>
        <w:rPr>
          <w:rFonts w:ascii="Times New Roman" w:hAnsi="Times New Roman" w:eastAsia="黑体"/>
          <w:color w:val="000000"/>
          <w:sz w:val="30"/>
          <w:szCs w:val="32"/>
        </w:rPr>
      </w:pPr>
      <w:bookmarkStart w:id="870" w:name="_Toc297123554"/>
      <w:bookmarkStart w:id="871" w:name="_Toc297216213"/>
      <w:bookmarkStart w:id="872" w:name="_Toc312678042"/>
      <w:bookmarkStart w:id="873" w:name="_Toc303539161"/>
      <w:bookmarkStart w:id="874" w:name="_Toc304295581"/>
      <w:bookmarkStart w:id="875" w:name="_Toc300935004"/>
      <w:bookmarkStart w:id="876" w:name="_Toc292559412"/>
      <w:bookmarkStart w:id="877" w:name="_Toc292559917"/>
      <w:bookmarkStart w:id="878" w:name="_Toc297120507"/>
      <w:bookmarkStart w:id="879" w:name="_Toc296346708"/>
      <w:bookmarkStart w:id="880" w:name="_Toc296503207"/>
      <w:bookmarkStart w:id="881" w:name="_Toc296891035"/>
      <w:bookmarkStart w:id="882" w:name="_Toc296944546"/>
      <w:bookmarkStart w:id="883" w:name="_Toc296347206"/>
      <w:bookmarkStart w:id="884" w:name="_Toc297048393"/>
      <w:bookmarkStart w:id="885" w:name="_Toc296891247"/>
      <w:r>
        <w:rPr>
          <w:rFonts w:ascii="Times New Roman" w:hAnsi="Times New Roman" w:eastAsia="黑体"/>
          <w:color w:val="000000"/>
          <w:sz w:val="30"/>
          <w:szCs w:val="32"/>
        </w:rPr>
        <w:t>12.2 预付款</w:t>
      </w:r>
    </w:p>
    <w:bookmarkEnd w:id="870"/>
    <w:bookmarkEnd w:id="871"/>
    <w:bookmarkEnd w:id="872"/>
    <w:bookmarkEnd w:id="873"/>
    <w:bookmarkEnd w:id="874"/>
    <w:bookmarkEnd w:id="875"/>
    <w:p w14:paraId="3E52038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12.2.1 预付款的支付</w:t>
      </w:r>
    </w:p>
    <w:p w14:paraId="29C70ED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预付款支付比例或金额：</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33EC96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预付款支付期限：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298C14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预付款扣回的方式：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DD1C4A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12.2.2 预付款担保</w:t>
      </w:r>
    </w:p>
    <w:p w14:paraId="7BDE8E5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承包人提交预付款担保的期限：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FA01D0F">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预付款担保的形式为：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876"/>
    <w:bookmarkEnd w:id="877"/>
    <w:bookmarkEnd w:id="878"/>
    <w:bookmarkEnd w:id="879"/>
    <w:bookmarkEnd w:id="880"/>
    <w:bookmarkEnd w:id="881"/>
    <w:bookmarkEnd w:id="882"/>
    <w:bookmarkEnd w:id="883"/>
    <w:bookmarkEnd w:id="884"/>
    <w:bookmarkEnd w:id="885"/>
    <w:p w14:paraId="145233E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12.3 计量</w:t>
      </w:r>
    </w:p>
    <w:p w14:paraId="6753C59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12.3.1 计量原则</w:t>
      </w:r>
    </w:p>
    <w:p w14:paraId="4BE9501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工程量计算规则：</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49B143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12.3.2 计量周期</w:t>
      </w:r>
    </w:p>
    <w:p w14:paraId="0DCA0E0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关于计量周期的约定：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F01D02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12.3.3 单价合同的计量</w:t>
      </w:r>
    </w:p>
    <w:p w14:paraId="1C27564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关于单价合同计量的约定：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D8CA4D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12.3.4 总价合同的计量</w:t>
      </w:r>
    </w:p>
    <w:p w14:paraId="569D8B5B">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关于总价合同计量的约定：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A1209B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12.3.5总价合同采用支付分解表计量支付的，是否适用第</w:t>
      </w:r>
      <w:r>
        <w:rPr>
          <w:rFonts w:ascii="Times New Roman" w:hAnsi="Times New Roman" w:eastAsia="仿宋_GB2312"/>
          <w:color w:val="000000"/>
          <w:kern w:val="0"/>
          <w:sz w:val="30"/>
          <w:szCs w:val="32"/>
        </w:rPr>
        <w:t xml:space="preserve">12.3.4 </w:t>
      </w:r>
      <w:r>
        <w:rPr>
          <w:rFonts w:ascii="Times New Roman" w:hAnsi="Times New Roman" w:eastAsia="仿宋_GB2312"/>
          <w:color w:val="000000"/>
          <w:sz w:val="30"/>
          <w:szCs w:val="32"/>
        </w:rPr>
        <w:t>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总价合同的计量</w:t>
      </w:r>
      <w:r>
        <w:rPr>
          <w:rFonts w:hint="eastAsia" w:ascii="Times New Roman" w:hAnsi="Times New Roman" w:eastAsia="仿宋_GB2312"/>
          <w:color w:val="000000"/>
          <w:kern w:val="0"/>
          <w:sz w:val="30"/>
          <w:szCs w:val="32"/>
        </w:rPr>
        <w:t>〕</w:t>
      </w:r>
      <w:r>
        <w:rPr>
          <w:rFonts w:ascii="Times New Roman" w:hAnsi="Times New Roman" w:eastAsia="仿宋_GB2312"/>
          <w:color w:val="000000"/>
          <w:sz w:val="30"/>
          <w:szCs w:val="32"/>
        </w:rPr>
        <w:t>约定</w:t>
      </w:r>
      <w:r>
        <w:rPr>
          <w:rFonts w:hint="eastAsia" w:ascii="Times New Roman" w:hAnsi="Times New Roman" w:eastAsia="仿宋_GB2312"/>
          <w:color w:val="000000"/>
          <w:sz w:val="30"/>
          <w:szCs w:val="32"/>
        </w:rPr>
        <w:t>进行计量：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F594F47">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12.3.6 其他价格形式合同的计量</w:t>
      </w:r>
    </w:p>
    <w:p w14:paraId="501C915E">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其他价格形式的计量方式和程序：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352892C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9E4A6FF">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12.4 工程进度款支付</w:t>
      </w:r>
    </w:p>
    <w:p w14:paraId="4FEA52F8">
      <w:pPr>
        <w:spacing w:line="360" w:lineRule="auto"/>
        <w:ind w:firstLine="600" w:firstLineChars="200"/>
        <w:jc w:val="left"/>
        <w:rPr>
          <w:rFonts w:ascii="Times New Roman" w:hAnsi="Times New Roman" w:eastAsia="仿宋_GB2312"/>
          <w:color w:val="000000"/>
          <w:sz w:val="30"/>
          <w:szCs w:val="32"/>
        </w:rPr>
      </w:pPr>
      <w:bookmarkStart w:id="886" w:name="_Toc300935006"/>
      <w:bookmarkStart w:id="887" w:name="_Toc296891251"/>
      <w:bookmarkStart w:id="888" w:name="_Toc296944550"/>
      <w:bookmarkStart w:id="889" w:name="_Toc297216215"/>
      <w:bookmarkStart w:id="890" w:name="_Toc297048397"/>
      <w:bookmarkStart w:id="891" w:name="_Toc296347210"/>
      <w:bookmarkStart w:id="892" w:name="_Toc297120511"/>
      <w:bookmarkStart w:id="893" w:name="_Toc296503211"/>
      <w:bookmarkStart w:id="894" w:name="_Toc297123556"/>
      <w:bookmarkStart w:id="895" w:name="_Toc292559416"/>
      <w:bookmarkStart w:id="896" w:name="_Toc303539163"/>
      <w:bookmarkStart w:id="897" w:name="_Toc296891039"/>
      <w:bookmarkStart w:id="898" w:name="_Toc292559921"/>
      <w:bookmarkStart w:id="899" w:name="_Toc296346712"/>
      <w:r>
        <w:rPr>
          <w:rFonts w:ascii="Times New Roman" w:hAnsi="Times New Roman" w:eastAsia="仿宋_GB2312"/>
          <w:color w:val="000000"/>
          <w:sz w:val="30"/>
          <w:szCs w:val="32"/>
        </w:rPr>
        <w:t>12.4.1 付款周期</w:t>
      </w:r>
    </w:p>
    <w:p w14:paraId="6206345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关于付款周期的约定：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78F1C4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12.4.2 进度付款申请单的编制</w:t>
      </w:r>
    </w:p>
    <w:p w14:paraId="046E2243">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关于进度付款申请单编制的约定：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058D812">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399588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r>
        <w:rPr>
          <w:rFonts w:ascii="Times New Roman" w:hAnsi="Times New Roman" w:eastAsia="仿宋_GB2312"/>
          <w:color w:val="000000"/>
          <w:sz w:val="30"/>
          <w:szCs w:val="32"/>
        </w:rPr>
        <w:t>2.4.3 进度付款申请单的提交</w:t>
      </w:r>
    </w:p>
    <w:p w14:paraId="7A76DAF4">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（1）单价合同进度付款申请单提交的约定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1AE5E001">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（2）总价合同进度付款申请单提交的约定</w:t>
      </w:r>
      <w:r>
        <w:rPr>
          <w:rFonts w:hint="eastAsia" w:ascii="Times New Roman" w:hAnsi="Times New Roman" w:eastAsia="仿宋_GB2312"/>
          <w:color w:val="000000"/>
          <w:sz w:val="30"/>
          <w:szCs w:val="32"/>
        </w:rPr>
        <w:t>：</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72BF6C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（3）其他价格形式合同进度付款申请单提交的约定：</w:t>
      </w:r>
      <w:r>
        <w:rPr>
          <w:rFonts w:ascii="Times New Roman" w:hAnsi="Times New Roman" w:eastAsia="仿宋_GB2312"/>
          <w:color w:val="000000"/>
          <w:sz w:val="30"/>
          <w:szCs w:val="32"/>
          <w:u w:val="single"/>
        </w:rPr>
        <w:t xml:space="preserve">       </w:t>
      </w:r>
    </w:p>
    <w:p w14:paraId="7735C93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E80170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12.4.4 进度款审核和支付</w:t>
      </w:r>
    </w:p>
    <w:p w14:paraId="5D040B17">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（1）监理人审查并报送发包人的期限：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D3A9E98">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发包人完成审批并签发进度款支付证书的期限：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43BD0BF0">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5D1DF8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（2）发包人支付进度款的期限：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EB41F67">
      <w:pPr>
        <w:spacing w:line="360" w:lineRule="auto"/>
        <w:ind w:firstLine="750" w:firstLineChars="2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发包人逾期支付进度款的违约金的计算方式：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5750DFE3">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D39FB0F">
      <w:pPr>
        <w:spacing w:line="360" w:lineRule="auto"/>
        <w:ind w:firstLine="750" w:firstLineChars="25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12.4.6 支付分解表的编制</w:t>
      </w:r>
    </w:p>
    <w:p w14:paraId="7B3D1DA3">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2、总价合同支付分解表的编制与审批：</w:t>
      </w:r>
      <w:r>
        <w:rPr>
          <w:rFonts w:ascii="Times New Roman" w:hAnsi="Times New Roman" w:eastAsia="仿宋_GB2312"/>
          <w:color w:val="000000"/>
          <w:sz w:val="30"/>
          <w:szCs w:val="32"/>
          <w:u w:val="single"/>
        </w:rPr>
        <w:t xml:space="preserve">                  </w:t>
      </w:r>
    </w:p>
    <w:p w14:paraId="1FDCD9FD">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EBFD00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3、单价合同的总价项目支付分解表的编制与审批：</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 xml:space="preserve">   </w:t>
      </w:r>
    </w:p>
    <w:p w14:paraId="1530DE19">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729"/>
    <w:p w14:paraId="32134124">
      <w:pPr>
        <w:pStyle w:val="5"/>
        <w:spacing w:before="120" w:after="120" w:line="360" w:lineRule="auto"/>
        <w:rPr>
          <w:rFonts w:ascii="Times New Roman" w:hAnsi="Times New Roman" w:eastAsia="黑体"/>
          <w:b w:val="0"/>
          <w:color w:val="000000"/>
          <w:sz w:val="32"/>
          <w:szCs w:val="32"/>
        </w:rPr>
      </w:pPr>
      <w:bookmarkStart w:id="900" w:name="_Toc351203645"/>
      <w:bookmarkStart w:id="901" w:name="_Toc292559424"/>
      <w:bookmarkStart w:id="902" w:name="_Toc292559929"/>
      <w:bookmarkStart w:id="903" w:name="_Toc296346720"/>
      <w:bookmarkStart w:id="904" w:name="_Toc296347218"/>
      <w:bookmarkStart w:id="905" w:name="_Toc296503219"/>
      <w:bookmarkStart w:id="906" w:name="_Toc297120519"/>
      <w:bookmarkStart w:id="907" w:name="_Toc297123564"/>
      <w:bookmarkStart w:id="908" w:name="_Toc300935015"/>
      <w:bookmarkStart w:id="909" w:name="_Toc296891259"/>
      <w:bookmarkStart w:id="910" w:name="_Toc297048405"/>
      <w:bookmarkStart w:id="911" w:name="_Toc312678053"/>
      <w:bookmarkStart w:id="912" w:name="_Toc296944558"/>
      <w:bookmarkStart w:id="913" w:name="_Toc304295593"/>
      <w:bookmarkStart w:id="914" w:name="_Toc303539172"/>
      <w:bookmarkStart w:id="915" w:name="_Toc297216223"/>
      <w:bookmarkStart w:id="916" w:name="_Toc296891047"/>
      <w:r>
        <w:rPr>
          <w:rFonts w:ascii="Times New Roman" w:hAnsi="Times New Roman" w:eastAsia="黑体"/>
          <w:b w:val="0"/>
          <w:color w:val="000000"/>
          <w:sz w:val="32"/>
          <w:szCs w:val="32"/>
        </w:rPr>
        <w:t>13.</w:t>
      </w:r>
      <w:r>
        <w:rPr>
          <w:rFonts w:hint="eastAsia" w:ascii="Times New Roman" w:hAnsi="Times New Roman" w:eastAsia="黑体"/>
          <w:b w:val="0"/>
          <w:color w:val="000000"/>
          <w:sz w:val="32"/>
          <w:szCs w:val="32"/>
        </w:rPr>
        <w:t xml:space="preserve"> </w:t>
      </w:r>
      <w:r>
        <w:rPr>
          <w:rFonts w:ascii="Times New Roman" w:hAnsi="Times New Roman" w:eastAsia="黑体"/>
          <w:b w:val="0"/>
          <w:color w:val="000000"/>
          <w:sz w:val="32"/>
          <w:szCs w:val="32"/>
        </w:rPr>
        <w:t>验收和工程试车</w:t>
      </w:r>
      <w:bookmarkEnd w:id="900"/>
    </w:p>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14:paraId="4CE7AB53">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13.1 分部分项工程验收</w:t>
      </w:r>
    </w:p>
    <w:p w14:paraId="5B4AD291">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13.1.2监理人不能按时进行验收时，应提前</w:t>
      </w:r>
      <w:r>
        <w:rPr>
          <w:rFonts w:ascii="Times New Roman" w:hAnsi="Times New Roman" w:eastAsia="仿宋_GB2312"/>
          <w:sz w:val="30"/>
          <w:szCs w:val="32"/>
          <w:u w:val="single"/>
        </w:rPr>
        <w:t xml:space="preserve">       </w:t>
      </w:r>
      <w:r>
        <w:rPr>
          <w:rFonts w:ascii="Times New Roman" w:hAnsi="Times New Roman" w:eastAsia="仿宋_GB2312"/>
          <w:sz w:val="30"/>
          <w:szCs w:val="32"/>
        </w:rPr>
        <w:t>小时提交书面延期要求。</w:t>
      </w:r>
    </w:p>
    <w:p w14:paraId="39C8F4C9">
      <w:pPr>
        <w:spacing w:line="360" w:lineRule="auto"/>
        <w:ind w:firstLine="600" w:firstLineChars="200"/>
        <w:jc w:val="left"/>
        <w:rPr>
          <w:rFonts w:ascii="Times New Roman" w:hAnsi="Times New Roman" w:eastAsia="仿宋_GB2312"/>
          <w:b/>
          <w:color w:val="000000"/>
          <w:sz w:val="30"/>
          <w:szCs w:val="32"/>
        </w:rPr>
      </w:pPr>
      <w:r>
        <w:rPr>
          <w:rFonts w:ascii="Times New Roman" w:hAnsi="Times New Roman" w:eastAsia="仿宋_GB2312"/>
          <w:sz w:val="30"/>
          <w:szCs w:val="32"/>
        </w:rPr>
        <w:t>关于延期最长不得超过：</w:t>
      </w:r>
      <w:r>
        <w:rPr>
          <w:rFonts w:ascii="Times New Roman" w:hAnsi="Times New Roman" w:eastAsia="仿宋_GB2312"/>
          <w:sz w:val="30"/>
          <w:szCs w:val="32"/>
          <w:u w:val="single"/>
        </w:rPr>
        <w:t xml:space="preserve">         </w:t>
      </w:r>
      <w:r>
        <w:rPr>
          <w:rFonts w:ascii="Times New Roman" w:hAnsi="Times New Roman" w:eastAsia="仿宋_GB2312"/>
          <w:sz w:val="30"/>
          <w:szCs w:val="32"/>
        </w:rPr>
        <w:t>小时。</w:t>
      </w:r>
    </w:p>
    <w:p w14:paraId="30EB8163">
      <w:pPr>
        <w:spacing w:after="120" w:line="360" w:lineRule="auto"/>
        <w:ind w:firstLine="600" w:firstLineChars="200"/>
        <w:rPr>
          <w:rFonts w:ascii="Times New Roman" w:hAnsi="Times New Roman" w:eastAsia="黑体"/>
          <w:color w:val="000000"/>
          <w:sz w:val="30"/>
          <w:szCs w:val="32"/>
        </w:rPr>
      </w:pPr>
      <w:bookmarkStart w:id="917" w:name="_Toc296347222"/>
      <w:bookmarkStart w:id="918" w:name="_Toc296503223"/>
      <w:bookmarkStart w:id="919" w:name="_Toc296891051"/>
      <w:bookmarkStart w:id="920" w:name="_Toc296891263"/>
      <w:bookmarkStart w:id="921" w:name="_Toc297120523"/>
      <w:bookmarkStart w:id="922" w:name="_Toc292559933"/>
      <w:bookmarkStart w:id="923" w:name="_Toc296346724"/>
      <w:bookmarkStart w:id="924" w:name="_Toc296944562"/>
      <w:bookmarkStart w:id="925" w:name="_Toc297123565"/>
      <w:bookmarkStart w:id="926" w:name="_Toc297216224"/>
      <w:bookmarkStart w:id="927" w:name="_Toc300935016"/>
      <w:bookmarkStart w:id="928" w:name="_Toc297048409"/>
      <w:bookmarkStart w:id="929" w:name="_Toc292559428"/>
      <w:bookmarkStart w:id="930" w:name="_Toc303539173"/>
      <w:bookmarkStart w:id="931" w:name="_Toc312678056"/>
      <w:bookmarkStart w:id="932" w:name="_Toc304295596"/>
      <w:bookmarkStart w:id="933" w:name="_Toc267251472"/>
      <w:bookmarkStart w:id="934" w:name="_Toc267251474"/>
      <w:bookmarkStart w:id="935" w:name="_Toc267251473"/>
      <w:bookmarkStart w:id="936" w:name="_Toc267251475"/>
      <w:bookmarkStart w:id="937" w:name="_Toc267251471"/>
      <w:bookmarkStart w:id="938" w:name="_Toc267251476"/>
      <w:bookmarkStart w:id="939" w:name="_Toc267251470"/>
      <w:r>
        <w:rPr>
          <w:rFonts w:ascii="Times New Roman" w:hAnsi="Times New Roman" w:eastAsia="黑体"/>
          <w:color w:val="000000"/>
          <w:sz w:val="30"/>
          <w:szCs w:val="32"/>
        </w:rPr>
        <w:t>13.2 竣工验收</w:t>
      </w:r>
    </w:p>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p w14:paraId="02D8413B">
      <w:pPr>
        <w:spacing w:line="360" w:lineRule="auto"/>
        <w:ind w:firstLine="600" w:firstLineChars="200"/>
        <w:jc w:val="left"/>
        <w:rPr>
          <w:rFonts w:ascii="Times New Roman" w:hAnsi="Times New Roman" w:eastAsia="仿宋_GB2312"/>
          <w:color w:val="000000"/>
          <w:sz w:val="30"/>
          <w:szCs w:val="32"/>
        </w:rPr>
      </w:pPr>
      <w:bookmarkStart w:id="940" w:name="_Toc280868704"/>
      <w:bookmarkStart w:id="941" w:name="_Toc280868705"/>
      <w:bookmarkStart w:id="942" w:name="_Toc280868706"/>
      <w:bookmarkStart w:id="943" w:name="_Toc280868707"/>
      <w:bookmarkStart w:id="944" w:name="_Toc280868708"/>
      <w:bookmarkStart w:id="945" w:name="_Toc280868709"/>
      <w:r>
        <w:rPr>
          <w:rFonts w:ascii="Times New Roman" w:hAnsi="Times New Roman" w:eastAsia="仿宋_GB2312"/>
          <w:color w:val="000000"/>
          <w:sz w:val="30"/>
          <w:szCs w:val="32"/>
        </w:rPr>
        <w:t>13.2.2竣工验收程序</w:t>
      </w:r>
    </w:p>
    <w:bookmarkEnd w:id="940"/>
    <w:p w14:paraId="4DD89E64">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关于竣工验收程序的约定：</w:t>
      </w:r>
      <w:r>
        <w:rPr>
          <w:rFonts w:ascii="Times New Roman" w:hAnsi="Times New Roman" w:eastAsia="仿宋_GB2312"/>
          <w:color w:val="000000"/>
          <w:sz w:val="30"/>
          <w:szCs w:val="32"/>
          <w:u w:val="single"/>
        </w:rPr>
        <w:t xml:space="preserve">                              </w:t>
      </w:r>
    </w:p>
    <w:p w14:paraId="353D6FEB">
      <w:pPr>
        <w:spacing w:line="360" w:lineRule="auto"/>
        <w:ind w:left="6000" w:hanging="6000" w:hangingChars="2000"/>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3B51115">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发包人不按照本项约定组织竣工验收、颁发工程接收证书的违约金的计算方法：</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1C684928">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1"/>
    <w:p w14:paraId="156C887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13.2.5移交、接收全部与部分工程</w:t>
      </w:r>
    </w:p>
    <w:bookmarkEnd w:id="942"/>
    <w:p w14:paraId="27C7F2E1">
      <w:pPr>
        <w:spacing w:line="360" w:lineRule="auto"/>
        <w:ind w:firstLine="600" w:firstLineChars="200"/>
        <w:jc w:val="left"/>
        <w:rPr>
          <w:rFonts w:hint="eastAsia" w:ascii="Times New Roman" w:hAnsi="Times New Roman" w:eastAsia="仿宋_GB2312"/>
          <w:color w:val="000000"/>
          <w:kern w:val="0"/>
          <w:sz w:val="30"/>
          <w:szCs w:val="32"/>
        </w:rPr>
      </w:pPr>
      <w:r>
        <w:rPr>
          <w:rFonts w:hint="eastAsia" w:ascii="Times New Roman" w:hAnsi="Times New Roman" w:eastAsia="仿宋_GB2312"/>
          <w:color w:val="000000"/>
          <w:kern w:val="0"/>
          <w:sz w:val="30"/>
          <w:szCs w:val="32"/>
        </w:rPr>
        <w:t>承包人向发包人移交工程的期限：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w:t>
      </w:r>
    </w:p>
    <w:p w14:paraId="521CDF19">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kern w:val="0"/>
          <w:sz w:val="30"/>
          <w:szCs w:val="32"/>
        </w:rPr>
        <w:t>发包人未按本合同约定接收全部或部分工程的，违约金的计算方法为：</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43"/>
    <w:p w14:paraId="4468A15A">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承包人未按时移交工程的，违约金的计算方法为：</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54773F1D">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543558D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13.3 工程试车</w:t>
      </w:r>
    </w:p>
    <w:bookmarkEnd w:id="944"/>
    <w:p w14:paraId="009BD9B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13.3.1 试车程序</w:t>
      </w:r>
    </w:p>
    <w:p w14:paraId="3380337D">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工程试车内容：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71508D58">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5E5BBE5">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（1）单机无负荷试车费用由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7DDF5615">
      <w:pPr>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（2）无负荷联动试车费用由</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承担。</w:t>
      </w:r>
    </w:p>
    <w:p w14:paraId="3ACCBA51">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13.3.3 投料试车</w:t>
      </w:r>
    </w:p>
    <w:p w14:paraId="01B344FA">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kern w:val="0"/>
          <w:sz w:val="30"/>
          <w:szCs w:val="32"/>
        </w:rPr>
        <w:t>关于投料试车相关事项的约定：</w:t>
      </w:r>
      <w:r>
        <w:rPr>
          <w:rFonts w:hint="eastAsia" w:ascii="Times New Roman" w:hAnsi="Times New Roman" w:eastAsia="仿宋_GB2312"/>
          <w:color w:val="000000"/>
          <w:sz w:val="30"/>
          <w:szCs w:val="32"/>
          <w:u w:val="single"/>
        </w:rPr>
        <w:t xml:space="preserve">                           </w:t>
      </w:r>
    </w:p>
    <w:p w14:paraId="17DD71AB">
      <w:pPr>
        <w:spacing w:line="360" w:lineRule="auto"/>
        <w:jc w:val="left"/>
        <w:rPr>
          <w:rFonts w:ascii="Times New Roman" w:hAnsi="Times New Roman" w:eastAsia="仿宋_GB2312"/>
          <w:color w:val="000000"/>
          <w:kern w:val="0"/>
          <w:sz w:val="30"/>
          <w:szCs w:val="32"/>
        </w:rPr>
      </w:pP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515804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13.6 竣工退场</w:t>
      </w:r>
    </w:p>
    <w:p w14:paraId="2EDA972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13.6.1 竣工退场</w:t>
      </w:r>
    </w:p>
    <w:p w14:paraId="042D7252">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承包人完成竣工退场的期限：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kern w:val="0"/>
          <w:sz w:val="30"/>
          <w:szCs w:val="32"/>
        </w:rPr>
        <w:t>。</w:t>
      </w:r>
    </w:p>
    <w:p w14:paraId="22A78F05">
      <w:pPr>
        <w:pStyle w:val="5"/>
        <w:spacing w:before="120" w:after="120" w:line="360" w:lineRule="auto"/>
        <w:rPr>
          <w:rFonts w:ascii="Times New Roman" w:hAnsi="Times New Roman" w:eastAsia="黑体"/>
          <w:b w:val="0"/>
          <w:color w:val="000000"/>
          <w:sz w:val="32"/>
          <w:szCs w:val="32"/>
        </w:rPr>
      </w:pPr>
      <w:bookmarkStart w:id="946" w:name="_Toc351203646"/>
      <w:r>
        <w:rPr>
          <w:rFonts w:ascii="Times New Roman" w:hAnsi="Times New Roman" w:eastAsia="黑体"/>
          <w:b w:val="0"/>
          <w:color w:val="000000"/>
          <w:sz w:val="32"/>
          <w:szCs w:val="32"/>
        </w:rPr>
        <w:t>14. 竣工结算</w:t>
      </w:r>
      <w:bookmarkEnd w:id="946"/>
    </w:p>
    <w:p w14:paraId="2A98DC0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14.1 竣工</w:t>
      </w:r>
      <w:r>
        <w:rPr>
          <w:rFonts w:hint="eastAsia" w:ascii="Times New Roman" w:hAnsi="Times New Roman" w:eastAsia="黑体"/>
          <w:color w:val="000000"/>
          <w:sz w:val="30"/>
          <w:szCs w:val="32"/>
        </w:rPr>
        <w:t>结算</w:t>
      </w:r>
      <w:r>
        <w:rPr>
          <w:rFonts w:ascii="Times New Roman" w:hAnsi="Times New Roman" w:eastAsia="黑体"/>
          <w:color w:val="000000"/>
          <w:sz w:val="30"/>
          <w:szCs w:val="32"/>
        </w:rPr>
        <w:t>申请</w:t>
      </w:r>
    </w:p>
    <w:p w14:paraId="5CD69E50">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sz w:val="30"/>
          <w:szCs w:val="32"/>
        </w:rPr>
        <w:t>承包人提交竣工</w:t>
      </w:r>
      <w:r>
        <w:rPr>
          <w:rFonts w:hint="eastAsia" w:ascii="Times New Roman" w:hAnsi="Times New Roman" w:eastAsia="仿宋_GB2312"/>
          <w:sz w:val="30"/>
          <w:szCs w:val="32"/>
        </w:rPr>
        <w:t>结算</w:t>
      </w:r>
      <w:r>
        <w:rPr>
          <w:rFonts w:ascii="Times New Roman" w:hAnsi="Times New Roman" w:eastAsia="仿宋_GB2312"/>
          <w:sz w:val="30"/>
          <w:szCs w:val="32"/>
        </w:rPr>
        <w:t>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38E2957F">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竣工</w:t>
      </w:r>
      <w:r>
        <w:rPr>
          <w:rFonts w:hint="eastAsia" w:ascii="Times New Roman" w:hAnsi="Times New Roman" w:eastAsia="仿宋_GB2312"/>
          <w:color w:val="000000"/>
          <w:sz w:val="30"/>
          <w:szCs w:val="32"/>
        </w:rPr>
        <w:t>结算</w:t>
      </w:r>
      <w:r>
        <w:rPr>
          <w:rFonts w:ascii="Times New Roman" w:hAnsi="Times New Roman" w:eastAsia="仿宋_GB2312"/>
          <w:color w:val="000000"/>
          <w:sz w:val="30"/>
          <w:szCs w:val="32"/>
        </w:rPr>
        <w:t>申请单应包括的内容：</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12E20A2">
      <w:pPr>
        <w:spacing w:line="360" w:lineRule="auto"/>
        <w:jc w:val="left"/>
        <w:rPr>
          <w:rFonts w:ascii="Times New Roman" w:hAnsi="Times New Roman" w:eastAsia="仿宋_GB2312"/>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D3EB35">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14.2 竣工结算审核</w:t>
      </w:r>
    </w:p>
    <w:p w14:paraId="12D01B5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发包人</w:t>
      </w:r>
      <w:r>
        <w:rPr>
          <w:rFonts w:hint="eastAsia" w:ascii="Times New Roman" w:hAnsi="Times New Roman" w:eastAsia="仿宋_GB2312"/>
          <w:sz w:val="30"/>
          <w:szCs w:val="32"/>
        </w:rPr>
        <w:t>审批</w:t>
      </w:r>
      <w:r>
        <w:rPr>
          <w:rFonts w:ascii="Times New Roman" w:hAnsi="Times New Roman" w:eastAsia="仿宋_GB2312"/>
          <w:sz w:val="30"/>
          <w:szCs w:val="32"/>
        </w:rPr>
        <w:t>竣工付款申请单的期限：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07B0A61">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sz w:val="30"/>
          <w:szCs w:val="32"/>
        </w:rPr>
        <w:t>发包人完成竣工付款的期限：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1ED65B">
      <w:pPr>
        <w:spacing w:line="360" w:lineRule="auto"/>
        <w:ind w:firstLine="600" w:firstLineChars="200"/>
        <w:jc w:val="left"/>
        <w:rPr>
          <w:rFonts w:hint="eastAsia" w:ascii="Times New Roman" w:hAnsi="Times New Roman" w:eastAsia="仿宋_GB2312"/>
          <w:color w:val="000000"/>
          <w:sz w:val="30"/>
          <w:szCs w:val="32"/>
          <w:u w:val="single"/>
        </w:rPr>
      </w:pPr>
      <w:r>
        <w:rPr>
          <w:rFonts w:hint="eastAsia" w:ascii="Times New Roman" w:hAnsi="Times New Roman" w:eastAsia="仿宋_GB2312"/>
          <w:color w:val="000000"/>
          <w:sz w:val="30"/>
          <w:szCs w:val="32"/>
        </w:rPr>
        <w:t>关于竣工付款证书异议部分复核的方式和程序：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06B29CD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A6BA3BC">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14.4 最终结清</w:t>
      </w:r>
    </w:p>
    <w:p w14:paraId="7A2CBD9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14.4.1 最终结清申请单</w:t>
      </w:r>
    </w:p>
    <w:p w14:paraId="1C041B4A">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承包人提交最终结清申请单的份数：</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718E87EA">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color w:val="000000"/>
          <w:kern w:val="0"/>
          <w:sz w:val="30"/>
          <w:szCs w:val="32"/>
        </w:rPr>
        <w:t>承包人提交最终结算申请单的期限：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ascii="Times New Roman" w:hAnsi="Times New Roman" w:eastAsia="仿宋_GB2312"/>
          <w:sz w:val="30"/>
          <w:szCs w:val="32"/>
        </w:rPr>
        <w:t xml:space="preserve"> </w:t>
      </w:r>
    </w:p>
    <w:p w14:paraId="09F77E94">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14.4.2 最终结清证书和支付</w:t>
      </w:r>
    </w:p>
    <w:p w14:paraId="24D7B015">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（1）发包人完成最终结清申请单的</w:t>
      </w:r>
      <w:r>
        <w:rPr>
          <w:rFonts w:hint="eastAsia" w:ascii="Times New Roman" w:hAnsi="Times New Roman" w:eastAsia="仿宋_GB2312"/>
          <w:sz w:val="30"/>
          <w:szCs w:val="32"/>
        </w:rPr>
        <w:t>审批</w:t>
      </w:r>
      <w:r>
        <w:rPr>
          <w:rFonts w:ascii="Times New Roman" w:hAnsi="Times New Roman" w:eastAsia="仿宋_GB2312"/>
          <w:sz w:val="30"/>
          <w:szCs w:val="32"/>
        </w:rPr>
        <w:t>并颁发最终结清证书的期限：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C53E0ED">
      <w:pPr>
        <w:spacing w:line="360" w:lineRule="auto"/>
        <w:ind w:firstLine="600" w:firstLineChars="200"/>
        <w:jc w:val="left"/>
        <w:rPr>
          <w:rFonts w:ascii="Times New Roman" w:hAnsi="Times New Roman" w:eastAsia="仿宋_GB2312"/>
          <w:sz w:val="30"/>
          <w:szCs w:val="32"/>
        </w:rPr>
      </w:pPr>
      <w:r>
        <w:rPr>
          <w:rFonts w:ascii="Times New Roman" w:hAnsi="Times New Roman" w:eastAsia="仿宋_GB2312"/>
          <w:sz w:val="30"/>
          <w:szCs w:val="32"/>
        </w:rPr>
        <w:t>（2）发包人完成支付的期限：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33"/>
    <w:bookmarkEnd w:id="934"/>
    <w:bookmarkEnd w:id="935"/>
    <w:bookmarkEnd w:id="936"/>
    <w:bookmarkEnd w:id="937"/>
    <w:bookmarkEnd w:id="938"/>
    <w:bookmarkEnd w:id="939"/>
    <w:bookmarkEnd w:id="945"/>
    <w:p w14:paraId="7C015659">
      <w:pPr>
        <w:pStyle w:val="5"/>
        <w:spacing w:before="120" w:after="120" w:line="360" w:lineRule="auto"/>
        <w:rPr>
          <w:rFonts w:ascii="Times New Roman" w:hAnsi="Times New Roman" w:eastAsia="黑体"/>
          <w:b w:val="0"/>
          <w:color w:val="000000"/>
          <w:sz w:val="32"/>
          <w:szCs w:val="32"/>
        </w:rPr>
      </w:pPr>
      <w:bookmarkStart w:id="947" w:name="_Toc351203647"/>
      <w:bookmarkStart w:id="948" w:name="_Toc267251483"/>
      <w:bookmarkStart w:id="949" w:name="_Toc267251482"/>
      <w:bookmarkStart w:id="950" w:name="_Toc267251484"/>
      <w:bookmarkStart w:id="951" w:name="_Toc267251485"/>
      <w:bookmarkStart w:id="952" w:name="_Toc267251489"/>
      <w:bookmarkStart w:id="953" w:name="_Toc267251486"/>
      <w:bookmarkStart w:id="954" w:name="_Toc267251488"/>
      <w:bookmarkStart w:id="955" w:name="_Toc267251490"/>
      <w:bookmarkStart w:id="956" w:name="_Toc267251491"/>
      <w:bookmarkStart w:id="957" w:name="_Toc267251503"/>
      <w:bookmarkStart w:id="958" w:name="_Toc267251498"/>
      <w:bookmarkStart w:id="959" w:name="_Toc267251502"/>
      <w:bookmarkStart w:id="960" w:name="_Toc267251497"/>
      <w:bookmarkStart w:id="961" w:name="_Toc267251495"/>
      <w:bookmarkStart w:id="962" w:name="_Toc267251494"/>
      <w:bookmarkStart w:id="963" w:name="_Toc267251499"/>
      <w:bookmarkStart w:id="964" w:name="_Toc267251501"/>
      <w:bookmarkStart w:id="965" w:name="_Toc267251492"/>
      <w:bookmarkStart w:id="966" w:name="_Toc267251496"/>
      <w:bookmarkStart w:id="967" w:name="_Toc267251493"/>
      <w:bookmarkStart w:id="968" w:name="_Toc267251504"/>
      <w:bookmarkStart w:id="969" w:name="_Toc267251506"/>
      <w:bookmarkStart w:id="970" w:name="_Toc267251507"/>
      <w:bookmarkStart w:id="971" w:name="_Toc267251508"/>
      <w:bookmarkStart w:id="972" w:name="_Toc267251511"/>
      <w:bookmarkStart w:id="973" w:name="_Toc267251514"/>
      <w:bookmarkStart w:id="974" w:name="_Toc267251513"/>
      <w:bookmarkStart w:id="975" w:name="_Toc267251510"/>
      <w:bookmarkStart w:id="976" w:name="_Toc267251515"/>
      <w:bookmarkStart w:id="977" w:name="_Toc267251509"/>
      <w:r>
        <w:rPr>
          <w:rFonts w:ascii="Times New Roman" w:hAnsi="Times New Roman" w:eastAsia="黑体"/>
          <w:b w:val="0"/>
          <w:color w:val="000000"/>
          <w:sz w:val="32"/>
          <w:szCs w:val="32"/>
        </w:rPr>
        <w:t>15. 缺陷责任期与保修</w:t>
      </w:r>
      <w:bookmarkEnd w:id="947"/>
    </w:p>
    <w:p w14:paraId="439A99DB">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15.2缺陷责任期</w:t>
      </w:r>
      <w:bookmarkEnd w:id="948"/>
    </w:p>
    <w:p w14:paraId="36BCEA4C">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缺陷责任期的具体期限：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DE76CD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DC78461">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15.3 质量保证金</w:t>
      </w:r>
    </w:p>
    <w:p w14:paraId="25B780EA">
      <w:pPr>
        <w:spacing w:line="360" w:lineRule="auto"/>
        <w:ind w:firstLine="600" w:firstLineChars="200"/>
        <w:jc w:val="left"/>
        <w:rPr>
          <w:rFonts w:eastAsia="仿宋_GB2312"/>
          <w:color w:val="000000"/>
          <w:sz w:val="30"/>
          <w:szCs w:val="32"/>
        </w:rPr>
      </w:pPr>
      <w:r>
        <w:rPr>
          <w:rFonts w:hint="eastAsia" w:ascii="Times New Roman" w:hAnsi="Times New Roman" w:eastAsia="仿宋_GB2312"/>
          <w:color w:val="000000"/>
          <w:sz w:val="30"/>
          <w:szCs w:val="32"/>
        </w:rPr>
        <w:t>关于是否扣留质量保证金的约定：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r>
        <w:rPr>
          <w:rFonts w:hint="eastAsia" w:eastAsia="仿宋_GB2312"/>
          <w:color w:val="000000"/>
          <w:sz w:val="30"/>
          <w:szCs w:val="32"/>
        </w:rPr>
        <w:t>在工程项目竣工前，承包人按专用合同条款第3.7条提供履约担保的，发包人不得同时预留工程质量保证金。</w:t>
      </w:r>
    </w:p>
    <w:p w14:paraId="560A27E0">
      <w:pPr>
        <w:spacing w:line="360" w:lineRule="auto"/>
        <w:ind w:firstLine="600" w:firstLineChars="200"/>
        <w:jc w:val="left"/>
        <w:rPr>
          <w:rFonts w:hint="eastAsia" w:ascii="Times New Roman" w:hAnsi="Times New Roman" w:eastAsia="仿宋_GB2312"/>
          <w:color w:val="000000"/>
          <w:sz w:val="30"/>
          <w:szCs w:val="32"/>
        </w:rPr>
      </w:pPr>
    </w:p>
    <w:p w14:paraId="4924C490">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15.3.1 </w:t>
      </w:r>
      <w:r>
        <w:rPr>
          <w:rFonts w:hint="eastAsia" w:ascii="Times New Roman" w:hAnsi="Times New Roman" w:eastAsia="仿宋_GB2312"/>
          <w:color w:val="000000"/>
          <w:sz w:val="30"/>
          <w:szCs w:val="32"/>
        </w:rPr>
        <w:t>承包人提供</w:t>
      </w:r>
      <w:r>
        <w:rPr>
          <w:rFonts w:ascii="Times New Roman" w:hAnsi="Times New Roman" w:eastAsia="仿宋_GB2312"/>
          <w:color w:val="000000"/>
          <w:sz w:val="30"/>
          <w:szCs w:val="32"/>
        </w:rPr>
        <w:t>质量保证金的</w:t>
      </w:r>
      <w:r>
        <w:rPr>
          <w:rFonts w:hint="eastAsia" w:ascii="Times New Roman" w:hAnsi="Times New Roman" w:eastAsia="仿宋_GB2312"/>
          <w:color w:val="000000"/>
          <w:sz w:val="30"/>
          <w:szCs w:val="32"/>
        </w:rPr>
        <w:t>方</w:t>
      </w:r>
      <w:r>
        <w:rPr>
          <w:rFonts w:ascii="Times New Roman" w:hAnsi="Times New Roman" w:eastAsia="仿宋_GB2312"/>
          <w:color w:val="000000"/>
          <w:sz w:val="30"/>
          <w:szCs w:val="32"/>
        </w:rPr>
        <w:t>式</w:t>
      </w:r>
    </w:p>
    <w:p w14:paraId="19DD8796">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质量保证金采用以下第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3C03A8D6">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（1）质量保证金保函，保证金额为：</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 xml:space="preserve">； </w:t>
      </w:r>
    </w:p>
    <w:p w14:paraId="12778FFD">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%的工程款；</w:t>
      </w:r>
    </w:p>
    <w:p w14:paraId="7C4A70A2">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w:t>
      </w:r>
      <w:r>
        <w:rPr>
          <w:rFonts w:hint="eastAsia" w:ascii="Times New Roman" w:hAnsi="Times New Roman" w:eastAsia="仿宋_GB2312"/>
          <w:color w:val="000000"/>
          <w:kern w:val="0"/>
          <w:sz w:val="30"/>
          <w:szCs w:val="32"/>
        </w:rPr>
        <w:t>方</w:t>
      </w:r>
      <w:r>
        <w:rPr>
          <w:rFonts w:ascii="Times New Roman" w:hAnsi="Times New Roman" w:eastAsia="仿宋_GB2312"/>
          <w:color w:val="000000"/>
          <w:kern w:val="0"/>
          <w:sz w:val="30"/>
          <w:szCs w:val="32"/>
        </w:rPr>
        <w:t>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381EBA3F">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 xml:space="preserve">15.3.2 质量保证金的扣留 </w:t>
      </w:r>
    </w:p>
    <w:p w14:paraId="4AEEE3E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质量保证金的扣留采取以下第</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p>
    <w:p w14:paraId="567F36C5">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（1）在支付工程进度款时逐次扣留，在此情形下，质量保证金的计算基数不包括预付款的支付、扣回以及价格调整的金额；</w:t>
      </w:r>
    </w:p>
    <w:p w14:paraId="6CB35174">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（2）工程竣工结算时一次性扣留质量保证金；</w:t>
      </w:r>
    </w:p>
    <w:p w14:paraId="0FC0AE39">
      <w:pPr>
        <w:autoSpaceDE w:val="0"/>
        <w:autoSpaceDN w:val="0"/>
        <w:adjustRightInd w:val="0"/>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（3）其他扣留方式:</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F03616B">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sz w:val="30"/>
          <w:szCs w:val="32"/>
        </w:rPr>
        <w:t>关于质量保证金的补充约定：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296E096D">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49"/>
    <w:bookmarkEnd w:id="950"/>
    <w:p w14:paraId="573FD134">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15.4保修</w:t>
      </w:r>
    </w:p>
    <w:bookmarkEnd w:id="951"/>
    <w:p w14:paraId="3C759031">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15.4.1 保修责任</w:t>
      </w:r>
    </w:p>
    <w:p w14:paraId="66F81156">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工程保修期为：</w:t>
      </w:r>
      <w:r>
        <w:rPr>
          <w:rFonts w:ascii="Times New Roman" w:hAnsi="Times New Roman" w:eastAsia="仿宋_GB2312"/>
          <w:color w:val="000000"/>
          <w:kern w:val="0"/>
          <w:sz w:val="30"/>
          <w:szCs w:val="32"/>
          <w:u w:val="single"/>
        </w:rPr>
        <w:t xml:space="preserve">                                        </w:t>
      </w:r>
    </w:p>
    <w:p w14:paraId="17054590">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CC5CCB8">
      <w:pPr>
        <w:spacing w:line="360" w:lineRule="auto"/>
        <w:ind w:firstLine="585" w:firstLineChars="195"/>
        <w:jc w:val="left"/>
        <w:rPr>
          <w:rFonts w:ascii="Times New Roman" w:hAnsi="Times New Roman" w:eastAsia="仿宋_GB2312"/>
          <w:color w:val="000000"/>
          <w:sz w:val="30"/>
          <w:szCs w:val="32"/>
        </w:rPr>
      </w:pPr>
      <w:r>
        <w:rPr>
          <w:rFonts w:ascii="Times New Roman" w:hAnsi="Times New Roman" w:eastAsia="仿宋_GB2312"/>
          <w:color w:val="000000"/>
          <w:sz w:val="30"/>
          <w:szCs w:val="32"/>
        </w:rPr>
        <w:t>15.4.3 修复通知</w:t>
      </w:r>
    </w:p>
    <w:p w14:paraId="416B88F7">
      <w:pPr>
        <w:spacing w:line="360" w:lineRule="auto"/>
        <w:ind w:firstLine="585" w:firstLineChars="195"/>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承包人收到保修通知并到达工程现场的合理时间：</w:t>
      </w:r>
      <w:r>
        <w:rPr>
          <w:rFonts w:ascii="Times New Roman" w:hAnsi="Times New Roman" w:eastAsia="仿宋_GB2312"/>
          <w:color w:val="000000"/>
          <w:kern w:val="0"/>
          <w:sz w:val="30"/>
          <w:szCs w:val="32"/>
          <w:u w:val="single"/>
        </w:rPr>
        <w:t xml:space="preserve">          </w:t>
      </w:r>
    </w:p>
    <w:p w14:paraId="4EEBD6BC">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bookmarkEnd w:id="952"/>
    <w:bookmarkEnd w:id="953"/>
    <w:bookmarkEnd w:id="954"/>
    <w:bookmarkEnd w:id="955"/>
    <w:p w14:paraId="081AAD4C">
      <w:pPr>
        <w:pStyle w:val="5"/>
        <w:spacing w:before="120" w:after="120" w:line="360" w:lineRule="auto"/>
        <w:rPr>
          <w:rFonts w:ascii="Times New Roman" w:hAnsi="Times New Roman" w:eastAsia="黑体"/>
          <w:b w:val="0"/>
          <w:color w:val="000000"/>
          <w:sz w:val="32"/>
          <w:szCs w:val="32"/>
        </w:rPr>
      </w:pPr>
      <w:bookmarkStart w:id="978" w:name="_Toc351203648"/>
      <w:bookmarkStart w:id="979" w:name="_Toc280868717"/>
      <w:bookmarkStart w:id="980" w:name="_Toc280868718"/>
      <w:r>
        <w:rPr>
          <w:rFonts w:ascii="Times New Roman" w:hAnsi="Times New Roman" w:eastAsia="黑体"/>
          <w:b w:val="0"/>
          <w:color w:val="000000"/>
          <w:sz w:val="32"/>
          <w:szCs w:val="32"/>
        </w:rPr>
        <w:t>16. 违约</w:t>
      </w:r>
      <w:bookmarkEnd w:id="978"/>
    </w:p>
    <w:p w14:paraId="09D2F690">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16.1 发包人违约</w:t>
      </w:r>
    </w:p>
    <w:p w14:paraId="5B3DD97A">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16.1.1发包人违约的情形</w:t>
      </w:r>
    </w:p>
    <w:p w14:paraId="5378AFC0">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发包人违约的其他情形：</w:t>
      </w:r>
      <w:r>
        <w:rPr>
          <w:rFonts w:ascii="Times New Roman" w:hAnsi="Times New Roman" w:eastAsia="仿宋_GB2312"/>
          <w:color w:val="000000"/>
          <w:kern w:val="0"/>
          <w:sz w:val="30"/>
          <w:szCs w:val="32"/>
          <w:u w:val="single"/>
        </w:rPr>
        <w:t xml:space="preserve">                                </w:t>
      </w:r>
    </w:p>
    <w:p w14:paraId="32471BD9">
      <w:pPr>
        <w:spacing w:line="360" w:lineRule="auto"/>
        <w:ind w:left="1500" w:hanging="1500" w:hangingChars="5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F2DFD43">
      <w:pPr>
        <w:spacing w:line="360" w:lineRule="auto"/>
        <w:ind w:left="1500" w:hanging="1500" w:hangingChars="5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 xml:space="preserve">    16.1.2 发包人违约的责任</w:t>
      </w:r>
    </w:p>
    <w:p w14:paraId="39238C1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发包人违约责任的承担方式和计算方法：</w:t>
      </w:r>
    </w:p>
    <w:p w14:paraId="6317F609">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（1）因发包人原因未能在计划开工日期前7天内下达开工通知的违约责任：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40B92E5C">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（2）因发包人原因未能按合同约定支付合同价款的违约责任：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94376BD">
      <w:pPr>
        <w:spacing w:line="360" w:lineRule="auto"/>
        <w:ind w:firstLine="600" w:firstLineChars="200"/>
        <w:jc w:val="left"/>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（3）发包人违反第10.1款</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变更的范围</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第（2）项约定，自行实施被取消的工作或转由他人实施的违约责任：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p>
    <w:p w14:paraId="64ED482D">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C632CF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（4）发包人提供的材料、工程设备的规格、数量或质量不符合合同约定，或因发包人原因导致交货日期延误或交货地点变更等情况的违约责任：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1044574">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（5）因发包人违反合同约定造成暂停施工的违约责任：</w:t>
      </w:r>
      <w:r>
        <w:rPr>
          <w:rFonts w:ascii="Times New Roman" w:hAnsi="Times New Roman" w:eastAsia="仿宋_GB2312"/>
          <w:color w:val="000000"/>
          <w:kern w:val="0"/>
          <w:sz w:val="30"/>
          <w:szCs w:val="32"/>
          <w:u w:val="single"/>
        </w:rPr>
        <w:t xml:space="preserve">     </w:t>
      </w:r>
    </w:p>
    <w:p w14:paraId="5A1088CB">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2012DE3">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（6）发包人无正当理由没有在约定期限内发出复工指示，导致承包人无法复工的违约责任：</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2FC28B3F">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（7）</w:t>
      </w:r>
      <w:r>
        <w:rPr>
          <w:rFonts w:hint="eastAsia" w:ascii="Times New Roman" w:hAnsi="Times New Roman" w:eastAsia="仿宋_GB2312"/>
          <w:color w:val="000000"/>
          <w:kern w:val="0"/>
          <w:sz w:val="30"/>
          <w:szCs w:val="32"/>
        </w:rPr>
        <w:t>其他：</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5C99809">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16.1.3 因发包人违约解除合同</w:t>
      </w:r>
    </w:p>
    <w:p w14:paraId="34919677">
      <w:pPr>
        <w:autoSpaceDE w:val="0"/>
        <w:autoSpaceDN w:val="0"/>
        <w:adjustRightInd w:val="0"/>
        <w:spacing w:line="360" w:lineRule="auto"/>
        <w:ind w:firstLine="600" w:firstLineChars="200"/>
        <w:jc w:val="left"/>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rPr>
        <w:t>承包人按16.1.1项</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发包人违约的情形</w:t>
      </w:r>
      <w:r>
        <w:rPr>
          <w:rFonts w:hint="eastAsia" w:ascii="Times New Roman" w:hAnsi="Times New Roman" w:eastAsia="仿宋_GB2312"/>
          <w:color w:val="000000"/>
          <w:kern w:val="0"/>
          <w:sz w:val="30"/>
          <w:szCs w:val="32"/>
        </w:rPr>
        <w:t>〕</w:t>
      </w:r>
      <w:r>
        <w:rPr>
          <w:rFonts w:ascii="Times New Roman" w:hAnsi="Times New Roman" w:eastAsia="仿宋_GB2312"/>
          <w:color w:val="000000"/>
          <w:kern w:val="0"/>
          <w:sz w:val="30"/>
          <w:szCs w:val="32"/>
        </w:rPr>
        <w:t>约定暂停施工满</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天后发包人仍不纠正其违约行为并致使合同目的不能实现的，承包人有权解除合同。</w:t>
      </w:r>
    </w:p>
    <w:p w14:paraId="188B020B">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16.2 承包人违约</w:t>
      </w:r>
    </w:p>
    <w:p w14:paraId="373E820D">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16.2.1 承包人违约的情形</w:t>
      </w:r>
    </w:p>
    <w:p w14:paraId="3EF29D6F">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承包人违约的其他情形：</w:t>
      </w:r>
      <w:r>
        <w:rPr>
          <w:rFonts w:ascii="Times New Roman" w:hAnsi="Times New Roman" w:eastAsia="仿宋_GB2312"/>
          <w:color w:val="000000"/>
          <w:kern w:val="0"/>
          <w:sz w:val="30"/>
          <w:szCs w:val="32"/>
          <w:u w:val="single"/>
        </w:rPr>
        <w:t xml:space="preserve">                                </w:t>
      </w:r>
    </w:p>
    <w:p w14:paraId="66CCAFEB">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00BA7D6E">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16.2.2承包人违约的责任</w:t>
      </w:r>
    </w:p>
    <w:p w14:paraId="736CB2F7">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承包人违约责任的承担方式和计算方法：</w:t>
      </w:r>
      <w:r>
        <w:rPr>
          <w:rFonts w:ascii="Times New Roman" w:hAnsi="Times New Roman" w:eastAsia="仿宋_GB2312"/>
          <w:color w:val="000000"/>
          <w:kern w:val="0"/>
          <w:sz w:val="30"/>
          <w:szCs w:val="32"/>
          <w:u w:val="single"/>
        </w:rPr>
        <w:t xml:space="preserve">                  </w:t>
      </w:r>
    </w:p>
    <w:p w14:paraId="76C32313">
      <w:pPr>
        <w:spacing w:line="360" w:lineRule="auto"/>
        <w:ind w:left="1500" w:hanging="1500" w:hangingChars="500"/>
        <w:jc w:val="left"/>
        <w:rPr>
          <w:rFonts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r>
        <w:rPr>
          <w:rFonts w:ascii="Times New Roman" w:hAnsi="Times New Roman" w:eastAsia="仿宋_GB2312"/>
          <w:color w:val="000000"/>
          <w:sz w:val="30"/>
          <w:szCs w:val="32"/>
        </w:rPr>
        <w:t xml:space="preserve">    </w:t>
      </w:r>
    </w:p>
    <w:p w14:paraId="113CAB9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16.2.3 因承包人违约解除合同</w:t>
      </w:r>
    </w:p>
    <w:p w14:paraId="14A7ACBA">
      <w:pPr>
        <w:spacing w:before="120" w:after="120" w:line="360" w:lineRule="auto"/>
        <w:ind w:firstLine="600" w:firstLineChars="200"/>
        <w:rPr>
          <w:rFonts w:hint="eastAsia" w:ascii="Times New Roman" w:hAnsi="Times New Roman" w:eastAsia="仿宋_GB2312"/>
          <w:color w:val="000000"/>
          <w:kern w:val="0"/>
          <w:sz w:val="30"/>
          <w:szCs w:val="32"/>
          <w:u w:val="single"/>
        </w:rPr>
      </w:pPr>
      <w:r>
        <w:rPr>
          <w:rFonts w:ascii="Times New Roman" w:hAnsi="Times New Roman" w:eastAsia="仿宋_GB2312"/>
          <w:color w:val="000000"/>
          <w:kern w:val="0"/>
          <w:sz w:val="30"/>
          <w:szCs w:val="32"/>
        </w:rPr>
        <w:t>关于承包人违约解除合同的特别约定：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p>
    <w:p w14:paraId="17A5DBFD">
      <w:pPr>
        <w:spacing w:before="120" w:after="120" w:line="360" w:lineRule="auto"/>
        <w:rPr>
          <w:rFonts w:hint="eastAsia" w:ascii="Times New Roman" w:hAnsi="Times New Roman" w:eastAsia="仿宋_GB2312"/>
          <w:color w:val="000000"/>
          <w:kern w:val="0"/>
          <w:sz w:val="30"/>
          <w:szCs w:val="32"/>
        </w:rPr>
      </w:pP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1BF97288">
      <w:pPr>
        <w:spacing w:before="120" w:after="120" w:line="360" w:lineRule="auto"/>
        <w:ind w:firstLine="600" w:firstLineChars="20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发包人</w:t>
      </w:r>
      <w:r>
        <w:rPr>
          <w:rFonts w:hint="eastAsia" w:ascii="Times New Roman" w:hAnsi="Times New Roman" w:eastAsia="仿宋_GB2312"/>
          <w:color w:val="000000"/>
          <w:kern w:val="0"/>
          <w:sz w:val="30"/>
          <w:szCs w:val="32"/>
        </w:rPr>
        <w:t>继续</w:t>
      </w:r>
      <w:r>
        <w:rPr>
          <w:rFonts w:ascii="Times New Roman" w:hAnsi="Times New Roman" w:eastAsia="仿宋_GB2312"/>
          <w:color w:val="000000"/>
          <w:kern w:val="0"/>
          <w:sz w:val="30"/>
          <w:szCs w:val="32"/>
        </w:rPr>
        <w:t>使用承包人在施工现场的材料、设备、临时工程、承包人文件和由承包人或以其名义编制的其他文件</w:t>
      </w:r>
      <w:r>
        <w:rPr>
          <w:rFonts w:hint="eastAsia" w:ascii="Times New Roman" w:hAnsi="Times New Roman" w:eastAsia="仿宋_GB2312"/>
          <w:color w:val="000000"/>
          <w:kern w:val="0"/>
          <w:sz w:val="30"/>
          <w:szCs w:val="32"/>
        </w:rPr>
        <w:t>的费用承担方式</w:t>
      </w:r>
      <w:r>
        <w:rPr>
          <w:rFonts w:ascii="Times New Roman" w:hAnsi="Times New Roman" w:eastAsia="仿宋_GB2312"/>
          <w:color w:val="000000"/>
          <w:kern w:val="0"/>
          <w:sz w:val="30"/>
          <w:szCs w:val="32"/>
        </w:rPr>
        <w:t>：</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rPr>
        <w:t>。</w:t>
      </w:r>
    </w:p>
    <w:p w14:paraId="7258477E">
      <w:pPr>
        <w:pStyle w:val="5"/>
        <w:spacing w:before="120" w:after="120" w:line="360" w:lineRule="auto"/>
        <w:rPr>
          <w:rFonts w:ascii="Times New Roman" w:hAnsi="Times New Roman" w:eastAsia="黑体"/>
          <w:b w:val="0"/>
          <w:color w:val="000000"/>
          <w:sz w:val="32"/>
          <w:szCs w:val="32"/>
        </w:rPr>
      </w:pPr>
      <w:bookmarkStart w:id="981" w:name="_Toc351203649"/>
      <w:r>
        <w:rPr>
          <w:rFonts w:ascii="Times New Roman" w:hAnsi="Times New Roman" w:eastAsia="黑体"/>
          <w:b w:val="0"/>
          <w:color w:val="000000"/>
          <w:sz w:val="32"/>
          <w:szCs w:val="32"/>
        </w:rPr>
        <w:t>17. 不可抗力</w:t>
      </w:r>
      <w:bookmarkEnd w:id="981"/>
      <w:r>
        <w:rPr>
          <w:rFonts w:ascii="Times New Roman" w:hAnsi="Times New Roman" w:eastAsia="黑体"/>
          <w:b w:val="0"/>
          <w:color w:val="000000"/>
          <w:sz w:val="32"/>
          <w:szCs w:val="32"/>
        </w:rPr>
        <w:t xml:space="preserve"> </w:t>
      </w:r>
      <w:bookmarkEnd w:id="979"/>
    </w:p>
    <w:p w14:paraId="1D768A91">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17.1 不可抗力的确认</w:t>
      </w:r>
    </w:p>
    <w:p w14:paraId="3FE5ACA1">
      <w:pPr>
        <w:spacing w:line="360" w:lineRule="auto"/>
        <w:ind w:firstLine="600" w:firstLineChars="200"/>
        <w:jc w:val="left"/>
        <w:rPr>
          <w:rFonts w:ascii="Times New Roman" w:hAnsi="Times New Roman" w:eastAsia="仿宋_GB2312"/>
          <w:color w:val="000000"/>
          <w:kern w:val="0"/>
          <w:sz w:val="30"/>
          <w:szCs w:val="32"/>
          <w:u w:val="single"/>
        </w:rPr>
      </w:pPr>
      <w:r>
        <w:rPr>
          <w:rFonts w:ascii="Times New Roman" w:hAnsi="Times New Roman" w:eastAsia="仿宋_GB2312"/>
          <w:color w:val="000000"/>
          <w:sz w:val="30"/>
          <w:szCs w:val="32"/>
        </w:rPr>
        <w:t xml:space="preserve">除通用合同条款约定的不可抗力事件之外，视为不可抗力的其他情形：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57AF71D3">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17.4 因不可抗力解除合同</w:t>
      </w:r>
    </w:p>
    <w:p w14:paraId="430CAA4E">
      <w:pPr>
        <w:spacing w:line="360" w:lineRule="auto"/>
        <w:ind w:firstLine="600" w:firstLineChars="200"/>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合同解除后，发包人应在商定或确定发包人应支付款项后</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天内完成款项的支付。</w:t>
      </w:r>
    </w:p>
    <w:p w14:paraId="08B859AE">
      <w:pPr>
        <w:pStyle w:val="5"/>
        <w:spacing w:before="120" w:after="120" w:line="360" w:lineRule="auto"/>
        <w:rPr>
          <w:rFonts w:ascii="Times New Roman" w:hAnsi="Times New Roman" w:eastAsia="黑体"/>
          <w:b w:val="0"/>
          <w:color w:val="000000"/>
          <w:sz w:val="32"/>
          <w:szCs w:val="32"/>
        </w:rPr>
      </w:pPr>
      <w:bookmarkStart w:id="982" w:name="_Toc351203650"/>
      <w:r>
        <w:rPr>
          <w:rFonts w:ascii="Times New Roman" w:hAnsi="Times New Roman" w:eastAsia="黑体"/>
          <w:b w:val="0"/>
          <w:color w:val="000000"/>
          <w:sz w:val="32"/>
          <w:szCs w:val="32"/>
        </w:rPr>
        <w:t>18. 保险</w:t>
      </w:r>
      <w:bookmarkEnd w:id="982"/>
    </w:p>
    <w:bookmarkEnd w:id="980"/>
    <w:p w14:paraId="2B29FCD5">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18.1 工程保险</w:t>
      </w:r>
    </w:p>
    <w:p w14:paraId="3CD5229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关于工程保险的特别约定：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79F41B52">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18.3 其他保险</w:t>
      </w:r>
    </w:p>
    <w:p w14:paraId="1BD1E0F0">
      <w:pPr>
        <w:spacing w:line="360" w:lineRule="auto"/>
        <w:ind w:firstLine="600" w:firstLineChars="200"/>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rPr>
        <w:t>关于其他保险的约定：</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hint="eastAsia"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u w:val="single"/>
        </w:rPr>
        <w:t xml:space="preserve">     </w:t>
      </w:r>
      <w:r>
        <w:rPr>
          <w:rFonts w:ascii="Times New Roman" w:hAnsi="Times New Roman" w:eastAsia="仿宋_GB2312"/>
          <w:color w:val="000000"/>
          <w:kern w:val="0"/>
          <w:sz w:val="30"/>
          <w:szCs w:val="32"/>
        </w:rPr>
        <w:t>。</w:t>
      </w:r>
    </w:p>
    <w:p w14:paraId="641AEBAF">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承包人是否应为其施工设备等办理财产保险：</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p>
    <w:p w14:paraId="2964DF81">
      <w:pPr>
        <w:spacing w:line="360" w:lineRule="auto"/>
        <w:jc w:val="left"/>
        <w:rPr>
          <w:rFonts w:ascii="Times New Roman" w:hAnsi="Times New Roman" w:eastAsia="仿宋_GB2312"/>
          <w:color w:val="000000"/>
          <w:kern w:val="0"/>
          <w:sz w:val="30"/>
          <w:szCs w:val="32"/>
        </w:rPr>
      </w:pP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458993FA">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黑体"/>
          <w:color w:val="000000"/>
          <w:sz w:val="30"/>
          <w:szCs w:val="32"/>
        </w:rPr>
        <w:t>18.7 通知义务</w:t>
      </w:r>
    </w:p>
    <w:p w14:paraId="4C1D0727">
      <w:pPr>
        <w:spacing w:line="360" w:lineRule="auto"/>
        <w:ind w:firstLine="600" w:firstLineChars="200"/>
        <w:jc w:val="left"/>
        <w:rPr>
          <w:rFonts w:hint="eastAsia" w:ascii="Times New Roman" w:hAnsi="Times New Roman" w:eastAsia="仿宋_GB2312"/>
          <w:color w:val="000000"/>
          <w:sz w:val="30"/>
          <w:szCs w:val="32"/>
          <w:u w:val="single"/>
        </w:rPr>
      </w:pPr>
      <w:r>
        <w:rPr>
          <w:rFonts w:ascii="Times New Roman" w:hAnsi="Times New Roman" w:eastAsia="仿宋_GB2312"/>
          <w:color w:val="000000"/>
          <w:kern w:val="0"/>
          <w:sz w:val="30"/>
          <w:szCs w:val="32"/>
        </w:rPr>
        <w:t>关于变更保险合同时的通知义务的约定：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p>
    <w:p w14:paraId="5831DBE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bookmarkEnd w:id="956"/>
    <w:bookmarkEnd w:id="957"/>
    <w:bookmarkEnd w:id="958"/>
    <w:bookmarkEnd w:id="959"/>
    <w:bookmarkEnd w:id="960"/>
    <w:bookmarkEnd w:id="961"/>
    <w:bookmarkEnd w:id="962"/>
    <w:bookmarkEnd w:id="963"/>
    <w:bookmarkEnd w:id="964"/>
    <w:bookmarkEnd w:id="965"/>
    <w:bookmarkEnd w:id="966"/>
    <w:bookmarkEnd w:id="967"/>
    <w:p w14:paraId="7BFD186F">
      <w:pPr>
        <w:pStyle w:val="5"/>
        <w:spacing w:before="120" w:after="120" w:line="360" w:lineRule="auto"/>
        <w:rPr>
          <w:rFonts w:ascii="Times New Roman" w:hAnsi="Times New Roman" w:eastAsia="黑体"/>
          <w:b w:val="0"/>
          <w:color w:val="000000"/>
          <w:sz w:val="32"/>
          <w:szCs w:val="32"/>
        </w:rPr>
      </w:pPr>
      <w:bookmarkStart w:id="983" w:name="_Toc351203651"/>
      <w:r>
        <w:rPr>
          <w:rFonts w:ascii="Times New Roman" w:hAnsi="Times New Roman" w:eastAsia="黑体"/>
          <w:b w:val="0"/>
          <w:color w:val="000000"/>
          <w:sz w:val="32"/>
          <w:szCs w:val="32"/>
        </w:rPr>
        <w:t>20. 争议解决</w:t>
      </w:r>
      <w:bookmarkEnd w:id="983"/>
    </w:p>
    <w:bookmarkEnd w:id="968"/>
    <w:bookmarkEnd w:id="969"/>
    <w:p w14:paraId="022FE98A">
      <w:pPr>
        <w:spacing w:after="120" w:line="360" w:lineRule="auto"/>
        <w:ind w:firstLine="600" w:firstLineChars="200"/>
        <w:outlineLvl w:val="0"/>
        <w:rPr>
          <w:rFonts w:ascii="Times New Roman" w:hAnsi="Times New Roman" w:eastAsia="黑体"/>
          <w:color w:val="000000"/>
          <w:sz w:val="30"/>
          <w:szCs w:val="32"/>
        </w:rPr>
      </w:pPr>
      <w:r>
        <w:rPr>
          <w:rFonts w:ascii="Times New Roman" w:hAnsi="Times New Roman" w:eastAsia="黑体"/>
          <w:color w:val="000000"/>
          <w:sz w:val="30"/>
          <w:szCs w:val="32"/>
        </w:rPr>
        <w:t>20.3 争</w:t>
      </w:r>
      <w:bookmarkEnd w:id="970"/>
      <w:r>
        <w:rPr>
          <w:rFonts w:ascii="Times New Roman" w:hAnsi="Times New Roman" w:eastAsia="黑体"/>
          <w:color w:val="000000"/>
          <w:sz w:val="30"/>
          <w:szCs w:val="32"/>
        </w:rPr>
        <w:t>议评审</w:t>
      </w:r>
    </w:p>
    <w:p w14:paraId="441B8009">
      <w:pPr>
        <w:spacing w:line="360" w:lineRule="auto"/>
        <w:ind w:left="149" w:leftChars="71" w:firstLine="450" w:firstLineChars="150"/>
        <w:jc w:val="left"/>
        <w:rPr>
          <w:rFonts w:hint="eastAsia" w:ascii="Times New Roman" w:hAnsi="Times New Roman" w:eastAsia="仿宋_GB2312"/>
          <w:color w:val="000000"/>
          <w:sz w:val="30"/>
          <w:szCs w:val="32"/>
          <w:u w:val="single"/>
        </w:rPr>
      </w:pPr>
      <w:r>
        <w:rPr>
          <w:rFonts w:ascii="Times New Roman" w:hAnsi="Times New Roman" w:eastAsia="仿宋_GB2312"/>
          <w:color w:val="000000"/>
          <w:sz w:val="30"/>
          <w:szCs w:val="32"/>
        </w:rPr>
        <w:t>合同当事人是否同意将工程争议提交争议评审小组决</w:t>
      </w:r>
      <w:r>
        <w:rPr>
          <w:rFonts w:hint="eastAsia" w:ascii="Times New Roman" w:hAnsi="Times New Roman" w:eastAsia="仿宋_GB2312"/>
          <w:color w:val="000000"/>
          <w:sz w:val="30"/>
          <w:szCs w:val="32"/>
        </w:rPr>
        <w:t>定：</w:t>
      </w:r>
      <w:r>
        <w:rPr>
          <w:rFonts w:hint="eastAsia" w:ascii="Times New Roman" w:hAnsi="Times New Roman" w:eastAsia="仿宋_GB2312"/>
          <w:color w:val="000000"/>
          <w:sz w:val="30"/>
          <w:szCs w:val="32"/>
          <w:u w:val="single"/>
        </w:rPr>
        <w:t xml:space="preserve">    </w:t>
      </w:r>
    </w:p>
    <w:p w14:paraId="4E909B7E">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rPr>
        <w:t xml:space="preserve">。  </w:t>
      </w:r>
    </w:p>
    <w:p w14:paraId="117C2912">
      <w:pPr>
        <w:spacing w:line="360" w:lineRule="auto"/>
        <w:ind w:firstLine="600" w:firstLineChars="200"/>
        <w:jc w:val="left"/>
        <w:outlineLvl w:val="0"/>
        <w:rPr>
          <w:rFonts w:ascii="Times New Roman" w:hAnsi="Times New Roman" w:eastAsia="仿宋_GB2312"/>
          <w:color w:val="000000"/>
          <w:sz w:val="30"/>
          <w:szCs w:val="32"/>
        </w:rPr>
      </w:pPr>
      <w:r>
        <w:rPr>
          <w:rFonts w:ascii="Times New Roman" w:hAnsi="Times New Roman" w:eastAsia="仿宋_GB2312"/>
          <w:color w:val="000000"/>
          <w:sz w:val="30"/>
          <w:szCs w:val="32"/>
        </w:rPr>
        <w:t>20.3.1 争议评审小组的确定</w:t>
      </w:r>
    </w:p>
    <w:p w14:paraId="71B2D38C">
      <w:pPr>
        <w:spacing w:line="360" w:lineRule="auto"/>
        <w:ind w:firstLine="600" w:firstLineChars="200"/>
        <w:jc w:val="left"/>
        <w:rPr>
          <w:rFonts w:ascii="Times New Roman" w:hAnsi="Times New Roman" w:eastAsia="仿宋_GB2312"/>
          <w:color w:val="000000"/>
          <w:sz w:val="30"/>
          <w:szCs w:val="32"/>
          <w:u w:val="single"/>
        </w:rPr>
      </w:pPr>
      <w:r>
        <w:rPr>
          <w:rFonts w:ascii="Times New Roman" w:hAnsi="Times New Roman" w:eastAsia="仿宋_GB2312"/>
          <w:color w:val="000000"/>
          <w:sz w:val="30"/>
          <w:szCs w:val="32"/>
        </w:rPr>
        <w:t>争议评审小组成员的确定：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AD899FC">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选定争议评审员的期限：</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6B143C1B">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争议评审小组成员的报酬承担方式：</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2C00998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其他事项的约定：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34B4AEA">
      <w:pPr>
        <w:autoSpaceDE w:val="0"/>
        <w:autoSpaceDN w:val="0"/>
        <w:adjustRightInd w:val="0"/>
        <w:spacing w:line="360" w:lineRule="auto"/>
        <w:ind w:firstLine="600" w:firstLineChars="200"/>
        <w:jc w:val="left"/>
        <w:outlineLvl w:val="0"/>
        <w:rPr>
          <w:rFonts w:ascii="Times New Roman" w:hAnsi="Times New Roman" w:eastAsia="仿宋_GB2312"/>
          <w:color w:val="000000"/>
          <w:kern w:val="0"/>
          <w:sz w:val="30"/>
          <w:szCs w:val="32"/>
        </w:rPr>
      </w:pPr>
      <w:r>
        <w:rPr>
          <w:rFonts w:ascii="Times New Roman" w:hAnsi="Times New Roman" w:eastAsia="仿宋_GB2312"/>
          <w:color w:val="000000"/>
          <w:kern w:val="0"/>
          <w:sz w:val="30"/>
          <w:szCs w:val="32"/>
        </w:rPr>
        <w:t>20.3.2 争议评审小组的决定</w:t>
      </w:r>
    </w:p>
    <w:p w14:paraId="3D200DB8">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合同当事人关于本项的约定：</w:t>
      </w:r>
      <w:r>
        <w:rPr>
          <w:rFonts w:ascii="Times New Roman" w:hAnsi="Times New Roman" w:eastAsia="仿宋_GB2312"/>
          <w:color w:val="000000"/>
          <w:sz w:val="30"/>
          <w:szCs w:val="32"/>
          <w:u w:val="single"/>
        </w:rPr>
        <w:t xml:space="preserve">                      </w:t>
      </w:r>
      <w:r>
        <w:rPr>
          <w:rFonts w:hint="eastAsia"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w:t>
      </w:r>
    </w:p>
    <w:p w14:paraId="0139C9A2">
      <w:pPr>
        <w:spacing w:after="120" w:line="360" w:lineRule="auto"/>
        <w:ind w:firstLine="600" w:firstLineChars="200"/>
        <w:outlineLvl w:val="0"/>
        <w:rPr>
          <w:rFonts w:hint="eastAsia" w:ascii="Times New Roman" w:hAnsi="Times New Roman" w:eastAsia="黑体"/>
          <w:color w:val="000000"/>
          <w:sz w:val="30"/>
          <w:szCs w:val="32"/>
        </w:rPr>
      </w:pPr>
      <w:r>
        <w:rPr>
          <w:rFonts w:ascii="Times New Roman" w:hAnsi="Times New Roman" w:eastAsia="黑体"/>
          <w:color w:val="000000"/>
          <w:sz w:val="30"/>
          <w:szCs w:val="32"/>
        </w:rPr>
        <w:t>20.4仲裁或诉讼</w:t>
      </w:r>
      <w:bookmarkEnd w:id="971"/>
    </w:p>
    <w:p w14:paraId="7FCB77B9">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2"/>
        </w:rPr>
        <w:t>因合同及合同有关事项发生的争议，按下列第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2B952E9D">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5FB60B82">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bookmarkEnd w:id="972"/>
      <w:bookmarkEnd w:id="973"/>
      <w:bookmarkEnd w:id="974"/>
      <w:bookmarkEnd w:id="975"/>
      <w:bookmarkEnd w:id="976"/>
      <w:bookmarkEnd w:id="977"/>
    </w:p>
    <w:p w14:paraId="1582ADCE">
      <w:pPr>
        <w:spacing w:line="360" w:lineRule="auto"/>
        <w:jc w:val="left"/>
        <w:rPr>
          <w:rFonts w:ascii="Times New Roman" w:hAnsi="Times New Roman" w:eastAsia="黑体"/>
          <w:b/>
          <w:color w:val="000000"/>
          <w:sz w:val="32"/>
          <w:szCs w:val="32"/>
        </w:rPr>
      </w:pPr>
      <w:r>
        <w:rPr>
          <w:rFonts w:ascii="Times New Roman" w:hAnsi="Times New Roman" w:eastAsia="仿宋_GB2312"/>
          <w:color w:val="000000"/>
          <w:sz w:val="30"/>
          <w:szCs w:val="32"/>
        </w:rPr>
        <w:br w:type="page"/>
      </w:r>
      <w:bookmarkStart w:id="984" w:name="_Toc351203652"/>
      <w:r>
        <w:rPr>
          <w:rFonts w:ascii="Times New Roman" w:hAnsi="Times New Roman" w:eastAsia="黑体"/>
          <w:b/>
          <w:color w:val="000000"/>
          <w:sz w:val="32"/>
          <w:szCs w:val="32"/>
        </w:rPr>
        <w:t>附件</w:t>
      </w:r>
      <w:bookmarkEnd w:id="984"/>
    </w:p>
    <w:p w14:paraId="396C5B03">
      <w:pPr>
        <w:spacing w:line="360" w:lineRule="auto"/>
        <w:jc w:val="left"/>
        <w:rPr>
          <w:rFonts w:hint="eastAsia" w:ascii="Times New Roman" w:hAnsi="Times New Roman" w:eastAsia="仿宋_GB2312"/>
          <w:color w:val="000000"/>
          <w:sz w:val="30"/>
          <w:szCs w:val="32"/>
        </w:rPr>
      </w:pPr>
      <w:r>
        <w:rPr>
          <w:rFonts w:hint="eastAsia" w:ascii="Times New Roman" w:hAnsi="Times New Roman" w:eastAsia="仿宋_GB2312"/>
          <w:color w:val="000000"/>
          <w:sz w:val="30"/>
          <w:szCs w:val="32"/>
        </w:rPr>
        <w:t>协议书附件：</w:t>
      </w:r>
    </w:p>
    <w:p w14:paraId="02DF7517">
      <w:pPr>
        <w:spacing w:line="360" w:lineRule="auto"/>
        <w:jc w:val="left"/>
        <w:rPr>
          <w:rFonts w:hint="eastAsia" w:ascii="Times New Roman" w:hAnsi="Times New Roman" w:eastAsia="仿宋_GB2312"/>
          <w:color w:val="000000"/>
          <w:sz w:val="30"/>
          <w:szCs w:val="32"/>
        </w:rPr>
      </w:pPr>
      <w:r>
        <w:rPr>
          <w:rFonts w:ascii="Times New Roman" w:hAnsi="Times New Roman" w:eastAsia="仿宋_GB2312"/>
          <w:color w:val="000000"/>
          <w:sz w:val="30"/>
          <w:szCs w:val="32"/>
        </w:rPr>
        <w:t>附件1：承包人承揽工程项目一览表</w:t>
      </w:r>
    </w:p>
    <w:p w14:paraId="044F0C83">
      <w:pPr>
        <w:spacing w:line="360" w:lineRule="auto"/>
        <w:jc w:val="left"/>
        <w:rPr>
          <w:rFonts w:ascii="Times New Roman" w:hAnsi="Times New Roman" w:eastAsia="仿宋_GB2312"/>
          <w:color w:val="000000"/>
          <w:sz w:val="30"/>
          <w:szCs w:val="32"/>
        </w:rPr>
      </w:pPr>
      <w:r>
        <w:rPr>
          <w:rFonts w:hint="eastAsia" w:ascii="Times New Roman" w:hAnsi="Times New Roman" w:eastAsia="仿宋_GB2312"/>
          <w:color w:val="000000"/>
          <w:sz w:val="30"/>
          <w:szCs w:val="32"/>
        </w:rPr>
        <w:t>专用合同条款附件：</w:t>
      </w:r>
    </w:p>
    <w:p w14:paraId="796F29E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附件2：发包人供应材料设备一览表</w:t>
      </w:r>
    </w:p>
    <w:p w14:paraId="1082AB54">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附件3：工程质量保修书</w:t>
      </w:r>
    </w:p>
    <w:p w14:paraId="1A21E07B">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附件4：主要建设工程文件目录</w:t>
      </w:r>
    </w:p>
    <w:p w14:paraId="0CDE4505">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附件5：承包人用于本工程施工的机械设备表</w:t>
      </w:r>
    </w:p>
    <w:p w14:paraId="610986B7">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附件6：承包人主要施工管理人员表</w:t>
      </w:r>
    </w:p>
    <w:p w14:paraId="18A376F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附件7：分包人主要施工管理人员表</w:t>
      </w:r>
    </w:p>
    <w:p w14:paraId="70CD77AF">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附件8：履约担保格式</w:t>
      </w:r>
    </w:p>
    <w:p w14:paraId="61A975E6">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附件9：预付款担保格式</w:t>
      </w:r>
    </w:p>
    <w:p w14:paraId="1E8BE98A">
      <w:pPr>
        <w:spacing w:line="360" w:lineRule="auto"/>
        <w:jc w:val="left"/>
        <w:rPr>
          <w:rFonts w:ascii="Times New Roman" w:hAnsi="Times New Roman" w:eastAsia="仿宋_GB2312"/>
          <w:color w:val="000000"/>
          <w:sz w:val="30"/>
          <w:szCs w:val="32"/>
        </w:rPr>
      </w:pPr>
      <w:r>
        <w:rPr>
          <w:rFonts w:ascii="Times New Roman" w:hAnsi="Times New Roman" w:eastAsia="仿宋_GB2312"/>
          <w:color w:val="000000"/>
          <w:sz w:val="30"/>
          <w:szCs w:val="32"/>
        </w:rPr>
        <w:t>附件10：支付担保格式</w:t>
      </w:r>
    </w:p>
    <w:p w14:paraId="1D003335">
      <w:pPr>
        <w:spacing w:line="360" w:lineRule="auto"/>
        <w:jc w:val="left"/>
        <w:rPr>
          <w:rFonts w:ascii="Times New Roman" w:hAnsi="Times New Roman" w:eastAsia="黑体"/>
          <w:color w:val="000000"/>
          <w:sz w:val="30"/>
          <w:szCs w:val="30"/>
        </w:rPr>
        <w:sectPr>
          <w:pgSz w:w="11906" w:h="16838"/>
          <w:pgMar w:top="1418" w:right="1555" w:bottom="1418" w:left="1531" w:header="851" w:footer="992" w:gutter="0"/>
          <w:pgNumType w:start="1"/>
          <w:cols w:space="720" w:num="1"/>
          <w:titlePg/>
          <w:docGrid w:type="lines" w:linePitch="312" w:charSpace="0"/>
        </w:sectPr>
      </w:pPr>
      <w:r>
        <w:rPr>
          <w:rFonts w:ascii="Times New Roman" w:hAnsi="Times New Roman" w:eastAsia="仿宋_GB2312"/>
          <w:color w:val="000000"/>
          <w:sz w:val="30"/>
          <w:szCs w:val="32"/>
        </w:rPr>
        <w:t>附件11：暂估价一览表</w:t>
      </w:r>
    </w:p>
    <w:p w14:paraId="695D4B5F">
      <w:pPr>
        <w:spacing w:before="156" w:beforeLines="50" w:after="156" w:afterLines="50" w:line="440" w:lineRule="exact"/>
        <w:jc w:val="left"/>
        <w:rPr>
          <w:rFonts w:hint="eastAsia" w:ascii="仿宋_GB2312" w:hAnsi="Times New Roman" w:eastAsia="仿宋_GB2312"/>
          <w:color w:val="000000"/>
          <w:sz w:val="30"/>
          <w:szCs w:val="30"/>
        </w:rPr>
      </w:pPr>
      <w:r>
        <w:rPr>
          <w:rFonts w:hint="eastAsia" w:ascii="仿宋_GB2312" w:hAnsi="Times New Roman" w:eastAsia="仿宋_GB2312"/>
          <w:color w:val="000000"/>
          <w:sz w:val="30"/>
          <w:szCs w:val="30"/>
        </w:rPr>
        <w:t>附件1：</w:t>
      </w:r>
    </w:p>
    <w:p w14:paraId="7C7DDA25">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承包人承揽工程项目一览表</w:t>
      </w:r>
    </w:p>
    <w:tbl>
      <w:tblPr>
        <w:tblStyle w:val="34"/>
        <w:tblW w:w="0" w:type="auto"/>
        <w:tblInd w:w="-39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277"/>
        <w:gridCol w:w="1843"/>
        <w:gridCol w:w="1417"/>
        <w:gridCol w:w="2410"/>
        <w:gridCol w:w="850"/>
        <w:gridCol w:w="1560"/>
        <w:gridCol w:w="2126"/>
        <w:gridCol w:w="1417"/>
        <w:gridCol w:w="851"/>
        <w:gridCol w:w="850"/>
      </w:tblGrid>
      <w:tr w14:paraId="2FD76B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1277" w:type="dxa"/>
            <w:tcBorders>
              <w:top w:val="single" w:color="auto" w:sz="12" w:space="0"/>
              <w:bottom w:val="double" w:color="auto" w:sz="6" w:space="0"/>
            </w:tcBorders>
            <w:noWrap w:val="0"/>
            <w:vAlign w:val="center"/>
          </w:tcPr>
          <w:p w14:paraId="4274D34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单位工程名称</w:t>
            </w:r>
          </w:p>
        </w:tc>
        <w:tc>
          <w:tcPr>
            <w:tcW w:w="1843" w:type="dxa"/>
            <w:tcBorders>
              <w:top w:val="single" w:color="auto" w:sz="12" w:space="0"/>
              <w:bottom w:val="double" w:color="auto" w:sz="6" w:space="0"/>
            </w:tcBorders>
            <w:noWrap w:val="0"/>
            <w:vAlign w:val="center"/>
          </w:tcPr>
          <w:p w14:paraId="7B9E587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建设规模</w:t>
            </w:r>
          </w:p>
        </w:tc>
        <w:tc>
          <w:tcPr>
            <w:tcW w:w="1417" w:type="dxa"/>
            <w:tcBorders>
              <w:top w:val="single" w:color="auto" w:sz="12" w:space="0"/>
              <w:bottom w:val="double" w:color="auto" w:sz="6" w:space="0"/>
            </w:tcBorders>
            <w:noWrap w:val="0"/>
            <w:vAlign w:val="center"/>
          </w:tcPr>
          <w:p w14:paraId="573927E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建筑面积(平方米)</w:t>
            </w:r>
          </w:p>
        </w:tc>
        <w:tc>
          <w:tcPr>
            <w:tcW w:w="2410" w:type="dxa"/>
            <w:tcBorders>
              <w:top w:val="single" w:color="auto" w:sz="12" w:space="0"/>
              <w:bottom w:val="double" w:color="auto" w:sz="6" w:space="0"/>
            </w:tcBorders>
            <w:noWrap w:val="0"/>
            <w:vAlign w:val="center"/>
          </w:tcPr>
          <w:p w14:paraId="6E51060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结构</w:t>
            </w:r>
            <w:r>
              <w:rPr>
                <w:rFonts w:hint="eastAsia" w:eastAsia="仿宋_GB2312"/>
                <w:color w:val="000000"/>
                <w:kern w:val="2"/>
                <w:sz w:val="28"/>
                <w:szCs w:val="30"/>
                <w:lang w:val="en-US" w:eastAsia="zh-CN"/>
              </w:rPr>
              <w:t>形式</w:t>
            </w:r>
          </w:p>
        </w:tc>
        <w:tc>
          <w:tcPr>
            <w:tcW w:w="850" w:type="dxa"/>
            <w:tcBorders>
              <w:top w:val="single" w:color="auto" w:sz="12" w:space="0"/>
              <w:bottom w:val="double" w:color="auto" w:sz="6" w:space="0"/>
            </w:tcBorders>
            <w:noWrap w:val="0"/>
            <w:vAlign w:val="center"/>
          </w:tcPr>
          <w:p w14:paraId="755718C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层数</w:t>
            </w:r>
          </w:p>
        </w:tc>
        <w:tc>
          <w:tcPr>
            <w:tcW w:w="1560" w:type="dxa"/>
            <w:tcBorders>
              <w:top w:val="single" w:color="auto" w:sz="12" w:space="0"/>
              <w:bottom w:val="double" w:color="auto" w:sz="6" w:space="0"/>
            </w:tcBorders>
            <w:noWrap w:val="0"/>
            <w:vAlign w:val="center"/>
          </w:tcPr>
          <w:p w14:paraId="2FDBED9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2126" w:type="dxa"/>
            <w:tcBorders>
              <w:top w:val="single" w:color="auto" w:sz="12" w:space="0"/>
              <w:bottom w:val="double" w:color="auto" w:sz="6" w:space="0"/>
            </w:tcBorders>
            <w:noWrap w:val="0"/>
            <w:vAlign w:val="center"/>
          </w:tcPr>
          <w:p w14:paraId="023B26E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设备安装内容</w:t>
            </w:r>
          </w:p>
        </w:tc>
        <w:tc>
          <w:tcPr>
            <w:tcW w:w="1417" w:type="dxa"/>
            <w:tcBorders>
              <w:top w:val="single" w:color="auto" w:sz="12" w:space="0"/>
              <w:bottom w:val="double" w:color="auto" w:sz="6" w:space="0"/>
            </w:tcBorders>
            <w:noWrap w:val="0"/>
            <w:vAlign w:val="center"/>
          </w:tcPr>
          <w:p w14:paraId="3A06D49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合同价格（元）</w:t>
            </w:r>
          </w:p>
        </w:tc>
        <w:tc>
          <w:tcPr>
            <w:tcW w:w="851" w:type="dxa"/>
            <w:tcBorders>
              <w:top w:val="single" w:color="auto" w:sz="12" w:space="0"/>
              <w:bottom w:val="double" w:color="auto" w:sz="6" w:space="0"/>
            </w:tcBorders>
            <w:noWrap w:val="0"/>
            <w:vAlign w:val="center"/>
          </w:tcPr>
          <w:p w14:paraId="646DFCC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开工日期</w:t>
            </w:r>
          </w:p>
        </w:tc>
        <w:tc>
          <w:tcPr>
            <w:tcW w:w="850" w:type="dxa"/>
            <w:tcBorders>
              <w:top w:val="single" w:color="auto" w:sz="12" w:space="0"/>
              <w:bottom w:val="double" w:color="auto" w:sz="6" w:space="0"/>
            </w:tcBorders>
            <w:noWrap w:val="0"/>
            <w:vAlign w:val="center"/>
          </w:tcPr>
          <w:p w14:paraId="1073502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竣工日期</w:t>
            </w:r>
          </w:p>
        </w:tc>
      </w:tr>
      <w:tr w14:paraId="595468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double" w:color="auto" w:sz="6" w:space="0"/>
              <w:bottom w:val="single" w:color="auto" w:sz="6" w:space="0"/>
            </w:tcBorders>
            <w:noWrap w:val="0"/>
            <w:vAlign w:val="center"/>
          </w:tcPr>
          <w:p w14:paraId="4058F19A">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double" w:color="auto" w:sz="6" w:space="0"/>
              <w:bottom w:val="single" w:color="auto" w:sz="6" w:space="0"/>
            </w:tcBorders>
            <w:noWrap w:val="0"/>
            <w:vAlign w:val="center"/>
          </w:tcPr>
          <w:p w14:paraId="5AE0B9F2">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7B49C0E2">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double" w:color="auto" w:sz="6" w:space="0"/>
              <w:bottom w:val="single" w:color="auto" w:sz="6" w:space="0"/>
            </w:tcBorders>
            <w:noWrap w:val="0"/>
            <w:vAlign w:val="center"/>
          </w:tcPr>
          <w:p w14:paraId="0453B2E2">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01A45035">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double" w:color="auto" w:sz="6" w:space="0"/>
              <w:bottom w:val="single" w:color="auto" w:sz="6" w:space="0"/>
            </w:tcBorders>
            <w:noWrap w:val="0"/>
            <w:vAlign w:val="center"/>
          </w:tcPr>
          <w:p w14:paraId="5FADD3E4">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double" w:color="auto" w:sz="6" w:space="0"/>
              <w:bottom w:val="single" w:color="auto" w:sz="6" w:space="0"/>
            </w:tcBorders>
            <w:noWrap w:val="0"/>
            <w:vAlign w:val="center"/>
          </w:tcPr>
          <w:p w14:paraId="4BF77696">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double" w:color="auto" w:sz="6" w:space="0"/>
              <w:bottom w:val="single" w:color="auto" w:sz="6" w:space="0"/>
            </w:tcBorders>
            <w:noWrap w:val="0"/>
            <w:vAlign w:val="center"/>
          </w:tcPr>
          <w:p w14:paraId="25CA3F04">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17E4D901">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00510550">
            <w:pPr>
              <w:pStyle w:val="16"/>
              <w:keepNext/>
              <w:spacing w:after="0" w:line="440" w:lineRule="exact"/>
              <w:ind w:left="63" w:right="63"/>
              <w:rPr>
                <w:rFonts w:eastAsia="仿宋_GB2312"/>
                <w:color w:val="000000"/>
                <w:kern w:val="2"/>
                <w:sz w:val="30"/>
                <w:szCs w:val="30"/>
                <w:lang w:val="en-US" w:eastAsia="zh-CN"/>
              </w:rPr>
            </w:pPr>
          </w:p>
        </w:tc>
      </w:tr>
      <w:tr w14:paraId="71890C7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14E1D6FC">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F9BAE03">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741833C">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379D5F37">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BE2FD68">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4ABDC50">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184A4E67">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4A7A98B">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918B7FC">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3BB6CF2">
            <w:pPr>
              <w:pStyle w:val="16"/>
              <w:keepNext/>
              <w:spacing w:after="0" w:line="440" w:lineRule="exact"/>
              <w:ind w:left="63" w:right="63"/>
              <w:rPr>
                <w:rFonts w:eastAsia="仿宋_GB2312"/>
                <w:color w:val="000000"/>
                <w:kern w:val="2"/>
                <w:sz w:val="30"/>
                <w:szCs w:val="30"/>
                <w:lang w:val="en-US" w:eastAsia="zh-CN"/>
              </w:rPr>
            </w:pPr>
          </w:p>
        </w:tc>
      </w:tr>
      <w:tr w14:paraId="324ADD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4633E6EC">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4E89F294">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B608566">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74F57F25">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333B80CB">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EF8C614">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4681FC47">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7DADDE54">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001A258B">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A2EC569">
            <w:pPr>
              <w:pStyle w:val="16"/>
              <w:keepNext/>
              <w:spacing w:after="0" w:line="440" w:lineRule="exact"/>
              <w:ind w:left="63" w:right="63"/>
              <w:rPr>
                <w:rFonts w:eastAsia="仿宋_GB2312"/>
                <w:color w:val="000000"/>
                <w:kern w:val="2"/>
                <w:sz w:val="30"/>
                <w:szCs w:val="30"/>
                <w:lang w:val="en-US" w:eastAsia="zh-CN"/>
              </w:rPr>
            </w:pPr>
          </w:p>
        </w:tc>
      </w:tr>
      <w:tr w14:paraId="292ADD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0128E71D">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33F71800">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5BBBDF9">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059CA42E">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DBBE34B">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068A9E99">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6D3FBB19">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5441B44C">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C35EACE">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F3451EA">
            <w:pPr>
              <w:pStyle w:val="16"/>
              <w:keepNext/>
              <w:spacing w:after="0" w:line="440" w:lineRule="exact"/>
              <w:ind w:left="63" w:right="63"/>
              <w:rPr>
                <w:rFonts w:eastAsia="仿宋_GB2312"/>
                <w:color w:val="000000"/>
                <w:kern w:val="2"/>
                <w:sz w:val="30"/>
                <w:szCs w:val="30"/>
                <w:lang w:val="en-US" w:eastAsia="zh-CN"/>
              </w:rPr>
            </w:pPr>
          </w:p>
        </w:tc>
      </w:tr>
      <w:tr w14:paraId="3D6521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79C083C0">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749ED027">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4A13EA43">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4E8C2B34">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D74BDAE">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064AD68">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4CAA4F9">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658A125">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45140229">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6503464">
            <w:pPr>
              <w:pStyle w:val="16"/>
              <w:keepNext/>
              <w:spacing w:after="0" w:line="440" w:lineRule="exact"/>
              <w:ind w:left="63" w:right="63"/>
              <w:rPr>
                <w:rFonts w:eastAsia="仿宋_GB2312"/>
                <w:color w:val="000000"/>
                <w:kern w:val="2"/>
                <w:sz w:val="30"/>
                <w:szCs w:val="30"/>
                <w:lang w:val="en-US" w:eastAsia="zh-CN"/>
              </w:rPr>
            </w:pPr>
          </w:p>
        </w:tc>
      </w:tr>
      <w:tr w14:paraId="12D533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69C9FF65">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1F5F5EAB">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7B6B2832">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41A55BC0">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E0F7785">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44431C64">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3D293383">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0486B15">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434BC61E">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E1F471A">
            <w:pPr>
              <w:pStyle w:val="16"/>
              <w:keepNext/>
              <w:spacing w:after="0" w:line="440" w:lineRule="exact"/>
              <w:ind w:left="63" w:right="63"/>
              <w:rPr>
                <w:rFonts w:eastAsia="仿宋_GB2312"/>
                <w:color w:val="000000"/>
                <w:kern w:val="2"/>
                <w:sz w:val="30"/>
                <w:szCs w:val="30"/>
                <w:lang w:val="en-US" w:eastAsia="zh-CN"/>
              </w:rPr>
            </w:pPr>
          </w:p>
        </w:tc>
      </w:tr>
      <w:tr w14:paraId="6FC3CC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4EFFED92">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556EF21A">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12E468DF">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32D7406">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78BB73B2">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17179923">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77C3B16F">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D18B2D5">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68C9C970">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1F8EC6B">
            <w:pPr>
              <w:pStyle w:val="16"/>
              <w:keepNext/>
              <w:spacing w:after="0" w:line="440" w:lineRule="exact"/>
              <w:ind w:left="63" w:right="63"/>
              <w:rPr>
                <w:rFonts w:eastAsia="仿宋_GB2312"/>
                <w:color w:val="000000"/>
                <w:kern w:val="2"/>
                <w:sz w:val="30"/>
                <w:szCs w:val="30"/>
                <w:lang w:val="en-US" w:eastAsia="zh-CN"/>
              </w:rPr>
            </w:pPr>
          </w:p>
        </w:tc>
      </w:tr>
      <w:tr w14:paraId="219CFC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07B5BB0D">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4A662AD4">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23633452">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0B2E8566">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5B54F28">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4F61A59E">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32977181">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43DDDB6">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2E9BBF09">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E5F7AA2">
            <w:pPr>
              <w:pStyle w:val="16"/>
              <w:keepNext/>
              <w:spacing w:after="0" w:line="440" w:lineRule="exact"/>
              <w:ind w:left="63" w:right="63"/>
              <w:rPr>
                <w:rFonts w:eastAsia="仿宋_GB2312"/>
                <w:color w:val="000000"/>
                <w:kern w:val="2"/>
                <w:sz w:val="30"/>
                <w:szCs w:val="30"/>
                <w:lang w:val="en-US" w:eastAsia="zh-CN"/>
              </w:rPr>
            </w:pPr>
          </w:p>
        </w:tc>
      </w:tr>
      <w:tr w14:paraId="25C91D6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3155D837">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471305FB">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011094AA">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66DEF743">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4CEE52DD">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09BDE887">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1055B44C">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5D53805">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13DB582">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177B057">
            <w:pPr>
              <w:pStyle w:val="16"/>
              <w:keepNext/>
              <w:spacing w:after="0" w:line="440" w:lineRule="exact"/>
              <w:ind w:left="63" w:right="63"/>
              <w:rPr>
                <w:rFonts w:eastAsia="仿宋_GB2312"/>
                <w:color w:val="000000"/>
                <w:kern w:val="2"/>
                <w:sz w:val="30"/>
                <w:szCs w:val="30"/>
                <w:lang w:val="en-US" w:eastAsia="zh-CN"/>
              </w:rPr>
            </w:pPr>
          </w:p>
        </w:tc>
      </w:tr>
      <w:tr w14:paraId="56EB9F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tcBorders>
              <w:top w:val="nil"/>
            </w:tcBorders>
            <w:noWrap w:val="0"/>
            <w:vAlign w:val="center"/>
          </w:tcPr>
          <w:p w14:paraId="097CC3E9">
            <w:pPr>
              <w:pStyle w:val="16"/>
              <w:keepNext/>
              <w:spacing w:after="0" w:line="440" w:lineRule="exact"/>
              <w:ind w:left="63" w:right="63"/>
              <w:rPr>
                <w:rFonts w:eastAsia="仿宋_GB2312"/>
                <w:color w:val="000000"/>
                <w:kern w:val="2"/>
                <w:sz w:val="30"/>
                <w:szCs w:val="30"/>
                <w:lang w:val="en-US" w:eastAsia="zh-CN"/>
              </w:rPr>
            </w:pPr>
          </w:p>
        </w:tc>
        <w:tc>
          <w:tcPr>
            <w:tcW w:w="1843" w:type="dxa"/>
            <w:tcBorders>
              <w:top w:val="nil"/>
            </w:tcBorders>
            <w:noWrap w:val="0"/>
            <w:vAlign w:val="center"/>
          </w:tcPr>
          <w:p w14:paraId="053846E8">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0F7C141C">
            <w:pPr>
              <w:pStyle w:val="16"/>
              <w:keepNext/>
              <w:spacing w:after="0" w:line="440" w:lineRule="exact"/>
              <w:ind w:left="63" w:right="63"/>
              <w:rPr>
                <w:rFonts w:eastAsia="仿宋_GB2312"/>
                <w:color w:val="000000"/>
                <w:kern w:val="2"/>
                <w:sz w:val="30"/>
                <w:szCs w:val="30"/>
                <w:lang w:val="en-US" w:eastAsia="zh-CN"/>
              </w:rPr>
            </w:pPr>
          </w:p>
        </w:tc>
        <w:tc>
          <w:tcPr>
            <w:tcW w:w="2410" w:type="dxa"/>
            <w:tcBorders>
              <w:top w:val="nil"/>
            </w:tcBorders>
            <w:noWrap w:val="0"/>
            <w:vAlign w:val="center"/>
          </w:tcPr>
          <w:p w14:paraId="17977971">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01AEFB5D">
            <w:pPr>
              <w:pStyle w:val="16"/>
              <w:keepNext/>
              <w:spacing w:after="0" w:line="440" w:lineRule="exact"/>
              <w:ind w:left="63" w:right="63"/>
              <w:rPr>
                <w:rFonts w:eastAsia="仿宋_GB2312"/>
                <w:color w:val="000000"/>
                <w:kern w:val="2"/>
                <w:sz w:val="30"/>
                <w:szCs w:val="30"/>
                <w:lang w:val="en-US" w:eastAsia="zh-CN"/>
              </w:rPr>
            </w:pPr>
          </w:p>
        </w:tc>
        <w:tc>
          <w:tcPr>
            <w:tcW w:w="1560" w:type="dxa"/>
            <w:tcBorders>
              <w:top w:val="nil"/>
            </w:tcBorders>
            <w:noWrap w:val="0"/>
            <w:vAlign w:val="center"/>
          </w:tcPr>
          <w:p w14:paraId="762E25DF">
            <w:pPr>
              <w:pStyle w:val="16"/>
              <w:keepNext/>
              <w:spacing w:after="0" w:line="440" w:lineRule="exact"/>
              <w:ind w:left="63" w:right="63"/>
              <w:rPr>
                <w:rFonts w:eastAsia="仿宋_GB2312"/>
                <w:color w:val="000000"/>
                <w:kern w:val="2"/>
                <w:sz w:val="30"/>
                <w:szCs w:val="30"/>
                <w:lang w:val="en-US" w:eastAsia="zh-CN"/>
              </w:rPr>
            </w:pPr>
          </w:p>
        </w:tc>
        <w:tc>
          <w:tcPr>
            <w:tcW w:w="2126" w:type="dxa"/>
            <w:tcBorders>
              <w:top w:val="nil"/>
            </w:tcBorders>
            <w:noWrap w:val="0"/>
            <w:vAlign w:val="center"/>
          </w:tcPr>
          <w:p w14:paraId="25FC52F0">
            <w:pPr>
              <w:pStyle w:val="16"/>
              <w:keepNext/>
              <w:spacing w:after="0" w:line="440" w:lineRule="exact"/>
              <w:ind w:left="63" w:right="63"/>
              <w:rPr>
                <w:rFonts w:eastAsia="仿宋_GB2312"/>
                <w:color w:val="000000"/>
                <w:kern w:val="2"/>
                <w:sz w:val="30"/>
                <w:szCs w:val="30"/>
                <w:lang w:val="en-US" w:eastAsia="zh-CN"/>
              </w:rPr>
            </w:pPr>
          </w:p>
        </w:tc>
        <w:tc>
          <w:tcPr>
            <w:tcW w:w="1417" w:type="dxa"/>
            <w:tcBorders>
              <w:top w:val="nil"/>
            </w:tcBorders>
            <w:noWrap w:val="0"/>
            <w:vAlign w:val="center"/>
          </w:tcPr>
          <w:p w14:paraId="3B04AFD8">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B51046E">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5F897D8C">
            <w:pPr>
              <w:pStyle w:val="16"/>
              <w:keepNext/>
              <w:spacing w:after="0" w:line="440" w:lineRule="exact"/>
              <w:ind w:left="63" w:right="63"/>
              <w:rPr>
                <w:rFonts w:eastAsia="仿宋_GB2312"/>
                <w:color w:val="000000"/>
                <w:kern w:val="2"/>
                <w:sz w:val="30"/>
                <w:szCs w:val="30"/>
                <w:lang w:val="en-US" w:eastAsia="zh-CN"/>
              </w:rPr>
            </w:pPr>
          </w:p>
        </w:tc>
      </w:tr>
      <w:tr w14:paraId="518FD7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trPr>
        <w:tc>
          <w:tcPr>
            <w:tcW w:w="1277" w:type="dxa"/>
            <w:noWrap w:val="0"/>
            <w:vAlign w:val="center"/>
          </w:tcPr>
          <w:p w14:paraId="28DFA487">
            <w:pPr>
              <w:pStyle w:val="16"/>
              <w:keepNext/>
              <w:spacing w:after="0" w:line="440" w:lineRule="exact"/>
              <w:ind w:left="63" w:right="63"/>
              <w:rPr>
                <w:rFonts w:eastAsia="仿宋_GB2312"/>
                <w:color w:val="000000"/>
                <w:kern w:val="2"/>
                <w:sz w:val="30"/>
                <w:szCs w:val="30"/>
                <w:lang w:val="en-US" w:eastAsia="zh-CN"/>
              </w:rPr>
            </w:pPr>
          </w:p>
        </w:tc>
        <w:tc>
          <w:tcPr>
            <w:tcW w:w="1843" w:type="dxa"/>
            <w:noWrap w:val="0"/>
            <w:vAlign w:val="center"/>
          </w:tcPr>
          <w:p w14:paraId="59733BE4">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1C3B3ECC">
            <w:pPr>
              <w:pStyle w:val="16"/>
              <w:keepNext/>
              <w:spacing w:after="0" w:line="440" w:lineRule="exact"/>
              <w:ind w:left="63" w:right="63"/>
              <w:rPr>
                <w:rFonts w:eastAsia="仿宋_GB2312"/>
                <w:color w:val="000000"/>
                <w:kern w:val="2"/>
                <w:sz w:val="30"/>
                <w:szCs w:val="30"/>
                <w:lang w:val="en-US" w:eastAsia="zh-CN"/>
              </w:rPr>
            </w:pPr>
          </w:p>
        </w:tc>
        <w:tc>
          <w:tcPr>
            <w:tcW w:w="2410" w:type="dxa"/>
            <w:noWrap w:val="0"/>
            <w:vAlign w:val="center"/>
          </w:tcPr>
          <w:p w14:paraId="01B8E10A">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B5915B5">
            <w:pPr>
              <w:pStyle w:val="16"/>
              <w:keepNext/>
              <w:spacing w:after="0" w:line="440" w:lineRule="exact"/>
              <w:ind w:left="63" w:right="63"/>
              <w:rPr>
                <w:rFonts w:eastAsia="仿宋_GB2312"/>
                <w:color w:val="000000"/>
                <w:kern w:val="2"/>
                <w:sz w:val="30"/>
                <w:szCs w:val="30"/>
                <w:lang w:val="en-US" w:eastAsia="zh-CN"/>
              </w:rPr>
            </w:pPr>
          </w:p>
        </w:tc>
        <w:tc>
          <w:tcPr>
            <w:tcW w:w="1560" w:type="dxa"/>
            <w:noWrap w:val="0"/>
            <w:vAlign w:val="center"/>
          </w:tcPr>
          <w:p w14:paraId="47563594">
            <w:pPr>
              <w:pStyle w:val="16"/>
              <w:keepNext/>
              <w:spacing w:after="0" w:line="440" w:lineRule="exact"/>
              <w:ind w:left="63" w:right="63"/>
              <w:rPr>
                <w:rFonts w:eastAsia="仿宋_GB2312"/>
                <w:color w:val="000000"/>
                <w:kern w:val="2"/>
                <w:sz w:val="30"/>
                <w:szCs w:val="30"/>
                <w:lang w:val="en-US" w:eastAsia="zh-CN"/>
              </w:rPr>
            </w:pPr>
          </w:p>
        </w:tc>
        <w:tc>
          <w:tcPr>
            <w:tcW w:w="2126" w:type="dxa"/>
            <w:noWrap w:val="0"/>
            <w:vAlign w:val="center"/>
          </w:tcPr>
          <w:p w14:paraId="24566D09">
            <w:pPr>
              <w:pStyle w:val="16"/>
              <w:keepNext/>
              <w:spacing w:after="0" w:line="440" w:lineRule="exact"/>
              <w:ind w:left="63" w:right="63"/>
              <w:rPr>
                <w:rFonts w:eastAsia="仿宋_GB2312"/>
                <w:color w:val="000000"/>
                <w:kern w:val="2"/>
                <w:sz w:val="30"/>
                <w:szCs w:val="30"/>
                <w:lang w:val="en-US" w:eastAsia="zh-CN"/>
              </w:rPr>
            </w:pPr>
          </w:p>
        </w:tc>
        <w:tc>
          <w:tcPr>
            <w:tcW w:w="1417" w:type="dxa"/>
            <w:noWrap w:val="0"/>
            <w:vAlign w:val="center"/>
          </w:tcPr>
          <w:p w14:paraId="7361DF28">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B2098B2">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7ECEA2D7">
            <w:pPr>
              <w:pStyle w:val="16"/>
              <w:keepNext/>
              <w:spacing w:after="0" w:line="440" w:lineRule="exact"/>
              <w:ind w:left="63" w:right="63"/>
              <w:rPr>
                <w:rFonts w:eastAsia="仿宋_GB2312"/>
                <w:color w:val="000000"/>
                <w:kern w:val="2"/>
                <w:sz w:val="30"/>
                <w:szCs w:val="30"/>
                <w:lang w:val="en-US" w:eastAsia="zh-CN"/>
              </w:rPr>
            </w:pPr>
          </w:p>
        </w:tc>
      </w:tr>
    </w:tbl>
    <w:p w14:paraId="27ED111A">
      <w:pPr>
        <w:spacing w:line="440" w:lineRule="exact"/>
        <w:rPr>
          <w:rFonts w:ascii="Times New Roman" w:hAnsi="Times New Roman" w:eastAsia="仿宋_GB2312"/>
          <w:b/>
          <w:color w:val="000000"/>
          <w:sz w:val="30"/>
          <w:szCs w:val="30"/>
        </w:rPr>
        <w:sectPr>
          <w:pgSz w:w="16838" w:h="11906" w:orient="landscape"/>
          <w:pgMar w:top="1554" w:right="1418" w:bottom="1531" w:left="1418" w:header="851" w:footer="992" w:gutter="0"/>
          <w:cols w:space="720" w:num="1"/>
          <w:titlePg/>
          <w:docGrid w:type="linesAndChars" w:linePitch="312" w:charSpace="0"/>
        </w:sectPr>
      </w:pPr>
    </w:p>
    <w:p w14:paraId="7C6EC543">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85" w:name="_Toc296346726"/>
      <w:bookmarkStart w:id="986" w:name="_Toc296347224"/>
      <w:bookmarkStart w:id="987" w:name="_Toc296503225"/>
      <w:bookmarkStart w:id="988" w:name="_Toc296891053"/>
      <w:bookmarkStart w:id="989" w:name="_Toc267261692"/>
      <w:bookmarkStart w:id="990" w:name="_Toc296891265"/>
      <w:bookmarkStart w:id="991" w:name="_Toc296944564"/>
      <w:r>
        <w:rPr>
          <w:rFonts w:ascii="Times New Roman" w:hAnsi="Times New Roman" w:eastAsia="仿宋_GB2312"/>
          <w:color w:val="000000"/>
          <w:sz w:val="30"/>
          <w:szCs w:val="30"/>
        </w:rPr>
        <w:t>件2：</w:t>
      </w:r>
    </w:p>
    <w:bookmarkEnd w:id="985"/>
    <w:bookmarkEnd w:id="986"/>
    <w:bookmarkEnd w:id="987"/>
    <w:bookmarkEnd w:id="988"/>
    <w:bookmarkEnd w:id="989"/>
    <w:bookmarkEnd w:id="990"/>
    <w:bookmarkEnd w:id="991"/>
    <w:p w14:paraId="3D91E363">
      <w:pPr>
        <w:spacing w:before="156" w:beforeLines="50" w:after="156" w:afterLines="50" w:line="440" w:lineRule="exact"/>
        <w:jc w:val="center"/>
        <w:rPr>
          <w:rFonts w:hint="eastAsia" w:ascii="Times New Roman" w:hAnsi="Times New Roman" w:eastAsia="黑体"/>
          <w:color w:val="000000"/>
          <w:sz w:val="30"/>
          <w:szCs w:val="30"/>
        </w:rPr>
      </w:pPr>
      <w:r>
        <w:rPr>
          <w:rFonts w:ascii="Times New Roman" w:hAnsi="Times New Roman" w:eastAsia="黑体"/>
          <w:color w:val="000000"/>
          <w:sz w:val="30"/>
          <w:szCs w:val="30"/>
        </w:rPr>
        <w:t>发包人供应材料设备一览表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51"/>
        <w:gridCol w:w="1276"/>
        <w:gridCol w:w="1418"/>
        <w:gridCol w:w="940"/>
        <w:gridCol w:w="851"/>
        <w:gridCol w:w="1044"/>
        <w:gridCol w:w="992"/>
        <w:gridCol w:w="851"/>
        <w:gridCol w:w="1487"/>
        <w:gridCol w:w="992"/>
      </w:tblGrid>
      <w:tr w14:paraId="07D5C6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851" w:type="dxa"/>
            <w:tcBorders>
              <w:top w:val="single" w:color="auto" w:sz="12" w:space="0"/>
              <w:bottom w:val="double" w:color="auto" w:sz="6" w:space="0"/>
            </w:tcBorders>
            <w:noWrap w:val="0"/>
            <w:vAlign w:val="center"/>
          </w:tcPr>
          <w:p w14:paraId="02E0CE8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276" w:type="dxa"/>
            <w:tcBorders>
              <w:top w:val="single" w:color="auto" w:sz="12" w:space="0"/>
              <w:bottom w:val="double" w:color="auto" w:sz="6" w:space="0"/>
            </w:tcBorders>
            <w:noWrap w:val="0"/>
            <w:vAlign w:val="center"/>
          </w:tcPr>
          <w:p w14:paraId="057B3B2A">
            <w:pPr>
              <w:pStyle w:val="16"/>
              <w:keepNext/>
              <w:spacing w:after="0" w:line="440" w:lineRule="exact"/>
              <w:ind w:left="63" w:right="63"/>
              <w:rPr>
                <w:rFonts w:hint="eastAsia" w:eastAsia="仿宋_GB2312"/>
                <w:color w:val="000000"/>
                <w:kern w:val="2"/>
                <w:sz w:val="28"/>
                <w:szCs w:val="30"/>
                <w:lang w:val="en-US" w:eastAsia="zh-CN"/>
              </w:rPr>
            </w:pPr>
            <w:r>
              <w:rPr>
                <w:rFonts w:hint="eastAsia" w:eastAsia="仿宋_GB2312"/>
                <w:color w:val="000000"/>
                <w:kern w:val="2"/>
                <w:sz w:val="28"/>
                <w:szCs w:val="30"/>
                <w:lang w:val="en-US" w:eastAsia="zh-CN"/>
              </w:rPr>
              <w:t xml:space="preserve">  </w:t>
            </w:r>
            <w:r>
              <w:rPr>
                <w:rFonts w:eastAsia="仿宋_GB2312"/>
                <w:color w:val="000000"/>
                <w:kern w:val="2"/>
                <w:sz w:val="28"/>
                <w:szCs w:val="30"/>
                <w:lang w:val="en-US" w:eastAsia="zh-CN"/>
              </w:rPr>
              <w:t>材料、</w:t>
            </w:r>
          </w:p>
          <w:p w14:paraId="0123EE76">
            <w:pPr>
              <w:pStyle w:val="16"/>
              <w:keepNext/>
              <w:spacing w:after="0" w:line="440" w:lineRule="exact"/>
              <w:ind w:left="0" w:leftChars="0" w:right="63"/>
              <w:jc w:val="both"/>
              <w:rPr>
                <w:rFonts w:eastAsia="仿宋_GB2312"/>
                <w:color w:val="000000"/>
                <w:kern w:val="2"/>
                <w:sz w:val="28"/>
                <w:szCs w:val="30"/>
                <w:lang w:val="en-US" w:eastAsia="zh-CN"/>
              </w:rPr>
            </w:pPr>
            <w:r>
              <w:rPr>
                <w:rFonts w:eastAsia="仿宋_GB2312"/>
                <w:color w:val="000000"/>
                <w:kern w:val="2"/>
                <w:sz w:val="28"/>
                <w:szCs w:val="30"/>
                <w:lang w:val="en-US" w:eastAsia="zh-CN"/>
              </w:rPr>
              <w:t>设备品种</w:t>
            </w:r>
          </w:p>
        </w:tc>
        <w:tc>
          <w:tcPr>
            <w:tcW w:w="1418" w:type="dxa"/>
            <w:tcBorders>
              <w:top w:val="single" w:color="auto" w:sz="12" w:space="0"/>
              <w:bottom w:val="double" w:color="auto" w:sz="6" w:space="0"/>
            </w:tcBorders>
            <w:noWrap w:val="0"/>
            <w:vAlign w:val="center"/>
          </w:tcPr>
          <w:p w14:paraId="37F2EF9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940" w:type="dxa"/>
            <w:tcBorders>
              <w:top w:val="single" w:color="auto" w:sz="12" w:space="0"/>
              <w:bottom w:val="double" w:color="auto" w:sz="6" w:space="0"/>
            </w:tcBorders>
            <w:noWrap w:val="0"/>
            <w:vAlign w:val="center"/>
          </w:tcPr>
          <w:p w14:paraId="0CBAB7A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851" w:type="dxa"/>
            <w:tcBorders>
              <w:top w:val="single" w:color="auto" w:sz="12" w:space="0"/>
              <w:bottom w:val="double" w:color="auto" w:sz="6" w:space="0"/>
            </w:tcBorders>
            <w:noWrap w:val="0"/>
            <w:vAlign w:val="center"/>
          </w:tcPr>
          <w:p w14:paraId="7A86FC7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044" w:type="dxa"/>
            <w:tcBorders>
              <w:top w:val="single" w:color="auto" w:sz="12" w:space="0"/>
              <w:bottom w:val="double" w:color="auto" w:sz="6" w:space="0"/>
            </w:tcBorders>
            <w:noWrap w:val="0"/>
            <w:vAlign w:val="center"/>
          </w:tcPr>
          <w:p w14:paraId="320E37D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992" w:type="dxa"/>
            <w:tcBorders>
              <w:top w:val="single" w:color="auto" w:sz="12" w:space="0"/>
              <w:bottom w:val="double" w:color="auto" w:sz="6" w:space="0"/>
            </w:tcBorders>
            <w:noWrap w:val="0"/>
            <w:vAlign w:val="center"/>
          </w:tcPr>
          <w:p w14:paraId="1CC940A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质量等级</w:t>
            </w:r>
          </w:p>
        </w:tc>
        <w:tc>
          <w:tcPr>
            <w:tcW w:w="851" w:type="dxa"/>
            <w:tcBorders>
              <w:top w:val="single" w:color="auto" w:sz="12" w:space="0"/>
              <w:bottom w:val="double" w:color="auto" w:sz="6" w:space="0"/>
            </w:tcBorders>
            <w:noWrap w:val="0"/>
            <w:vAlign w:val="center"/>
          </w:tcPr>
          <w:p w14:paraId="6B225D4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供应时间</w:t>
            </w:r>
          </w:p>
        </w:tc>
        <w:tc>
          <w:tcPr>
            <w:tcW w:w="1487" w:type="dxa"/>
            <w:tcBorders>
              <w:top w:val="single" w:color="auto" w:sz="12" w:space="0"/>
              <w:bottom w:val="double" w:color="auto" w:sz="6" w:space="0"/>
            </w:tcBorders>
            <w:noWrap w:val="0"/>
            <w:vAlign w:val="center"/>
          </w:tcPr>
          <w:p w14:paraId="0CF6749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送达地点</w:t>
            </w:r>
          </w:p>
        </w:tc>
        <w:tc>
          <w:tcPr>
            <w:tcW w:w="992" w:type="dxa"/>
            <w:tcBorders>
              <w:top w:val="single" w:color="auto" w:sz="12" w:space="0"/>
              <w:bottom w:val="double" w:color="auto" w:sz="6" w:space="0"/>
            </w:tcBorders>
            <w:noWrap w:val="0"/>
            <w:vAlign w:val="center"/>
          </w:tcPr>
          <w:p w14:paraId="4D55077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63F9234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double" w:color="auto" w:sz="6" w:space="0"/>
              <w:bottom w:val="single" w:color="auto" w:sz="6" w:space="0"/>
            </w:tcBorders>
            <w:noWrap w:val="0"/>
            <w:vAlign w:val="center"/>
          </w:tcPr>
          <w:p w14:paraId="7EE13C5B">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2FC32C6A">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638E9566">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double" w:color="auto" w:sz="6" w:space="0"/>
              <w:bottom w:val="single" w:color="auto" w:sz="6" w:space="0"/>
            </w:tcBorders>
            <w:noWrap w:val="0"/>
            <w:vAlign w:val="center"/>
          </w:tcPr>
          <w:p w14:paraId="32583026">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7519D1D6">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double" w:color="auto" w:sz="6" w:space="0"/>
              <w:bottom w:val="single" w:color="auto" w:sz="6" w:space="0"/>
            </w:tcBorders>
            <w:noWrap w:val="0"/>
            <w:vAlign w:val="center"/>
          </w:tcPr>
          <w:p w14:paraId="7E8418A0">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35097D12">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double" w:color="auto" w:sz="6" w:space="0"/>
              <w:bottom w:val="single" w:color="auto" w:sz="6" w:space="0"/>
            </w:tcBorders>
            <w:noWrap w:val="0"/>
            <w:vAlign w:val="center"/>
          </w:tcPr>
          <w:p w14:paraId="2CA3BAC1">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double" w:color="auto" w:sz="6" w:space="0"/>
              <w:bottom w:val="single" w:color="auto" w:sz="6" w:space="0"/>
            </w:tcBorders>
            <w:noWrap w:val="0"/>
            <w:vAlign w:val="center"/>
          </w:tcPr>
          <w:p w14:paraId="17E850E5">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double" w:color="auto" w:sz="6" w:space="0"/>
              <w:bottom w:val="single" w:color="auto" w:sz="6" w:space="0"/>
            </w:tcBorders>
            <w:noWrap w:val="0"/>
            <w:vAlign w:val="center"/>
          </w:tcPr>
          <w:p w14:paraId="7BFF10B8">
            <w:pPr>
              <w:pStyle w:val="16"/>
              <w:keepNext/>
              <w:spacing w:after="0" w:line="440" w:lineRule="exact"/>
              <w:ind w:left="63" w:right="63"/>
              <w:rPr>
                <w:rFonts w:eastAsia="仿宋_GB2312"/>
                <w:color w:val="000000"/>
                <w:kern w:val="2"/>
                <w:sz w:val="30"/>
                <w:szCs w:val="30"/>
                <w:lang w:val="en-US" w:eastAsia="zh-CN"/>
              </w:rPr>
            </w:pPr>
          </w:p>
        </w:tc>
      </w:tr>
      <w:tr w14:paraId="07160D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tcBorders>
              <w:top w:val="nil"/>
            </w:tcBorders>
            <w:noWrap w:val="0"/>
            <w:vAlign w:val="center"/>
          </w:tcPr>
          <w:p w14:paraId="174B3F59">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5F57E331">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538D4C34">
            <w:pPr>
              <w:pStyle w:val="16"/>
              <w:keepNext/>
              <w:spacing w:after="0" w:line="440" w:lineRule="exact"/>
              <w:ind w:left="63" w:right="63"/>
              <w:rPr>
                <w:rFonts w:eastAsia="仿宋_GB2312"/>
                <w:color w:val="000000"/>
                <w:kern w:val="2"/>
                <w:sz w:val="30"/>
                <w:szCs w:val="30"/>
                <w:lang w:val="en-US" w:eastAsia="zh-CN"/>
              </w:rPr>
            </w:pPr>
          </w:p>
        </w:tc>
        <w:tc>
          <w:tcPr>
            <w:tcW w:w="940" w:type="dxa"/>
            <w:tcBorders>
              <w:top w:val="nil"/>
            </w:tcBorders>
            <w:noWrap w:val="0"/>
            <w:vAlign w:val="center"/>
          </w:tcPr>
          <w:p w14:paraId="41097109">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304C6499">
            <w:pPr>
              <w:pStyle w:val="16"/>
              <w:keepNext/>
              <w:spacing w:after="0" w:line="440" w:lineRule="exact"/>
              <w:ind w:left="63" w:right="63"/>
              <w:rPr>
                <w:rFonts w:eastAsia="仿宋_GB2312"/>
                <w:color w:val="000000"/>
                <w:kern w:val="2"/>
                <w:sz w:val="30"/>
                <w:szCs w:val="30"/>
                <w:lang w:val="en-US" w:eastAsia="zh-CN"/>
              </w:rPr>
            </w:pPr>
          </w:p>
        </w:tc>
        <w:tc>
          <w:tcPr>
            <w:tcW w:w="1044" w:type="dxa"/>
            <w:tcBorders>
              <w:top w:val="nil"/>
            </w:tcBorders>
            <w:noWrap w:val="0"/>
            <w:vAlign w:val="center"/>
          </w:tcPr>
          <w:p w14:paraId="6C16225E">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492D51A4">
            <w:pPr>
              <w:pStyle w:val="16"/>
              <w:keepNext/>
              <w:spacing w:after="0" w:line="440" w:lineRule="exact"/>
              <w:ind w:left="63" w:right="63"/>
              <w:rPr>
                <w:rFonts w:eastAsia="仿宋_GB2312"/>
                <w:color w:val="000000"/>
                <w:kern w:val="2"/>
                <w:sz w:val="30"/>
                <w:szCs w:val="30"/>
                <w:lang w:val="en-US" w:eastAsia="zh-CN"/>
              </w:rPr>
            </w:pPr>
          </w:p>
        </w:tc>
        <w:tc>
          <w:tcPr>
            <w:tcW w:w="851" w:type="dxa"/>
            <w:tcBorders>
              <w:top w:val="nil"/>
            </w:tcBorders>
            <w:noWrap w:val="0"/>
            <w:vAlign w:val="center"/>
          </w:tcPr>
          <w:p w14:paraId="54562E77">
            <w:pPr>
              <w:pStyle w:val="16"/>
              <w:keepNext/>
              <w:spacing w:after="0" w:line="440" w:lineRule="exact"/>
              <w:ind w:left="63" w:right="63"/>
              <w:rPr>
                <w:rFonts w:eastAsia="仿宋_GB2312"/>
                <w:color w:val="000000"/>
                <w:kern w:val="2"/>
                <w:sz w:val="30"/>
                <w:szCs w:val="30"/>
                <w:lang w:val="en-US" w:eastAsia="zh-CN"/>
              </w:rPr>
            </w:pPr>
          </w:p>
        </w:tc>
        <w:tc>
          <w:tcPr>
            <w:tcW w:w="1487" w:type="dxa"/>
            <w:tcBorders>
              <w:top w:val="nil"/>
            </w:tcBorders>
            <w:noWrap w:val="0"/>
            <w:vAlign w:val="center"/>
          </w:tcPr>
          <w:p w14:paraId="1543F960">
            <w:pPr>
              <w:pStyle w:val="16"/>
              <w:keepNext/>
              <w:spacing w:after="0" w:line="440" w:lineRule="exact"/>
              <w:ind w:left="63" w:right="63"/>
              <w:rPr>
                <w:rFonts w:eastAsia="仿宋_GB2312"/>
                <w:color w:val="000000"/>
                <w:kern w:val="2"/>
                <w:sz w:val="30"/>
                <w:szCs w:val="30"/>
                <w:lang w:val="en-US" w:eastAsia="zh-CN"/>
              </w:rPr>
            </w:pPr>
          </w:p>
        </w:tc>
        <w:tc>
          <w:tcPr>
            <w:tcW w:w="992" w:type="dxa"/>
            <w:tcBorders>
              <w:top w:val="nil"/>
            </w:tcBorders>
            <w:noWrap w:val="0"/>
            <w:vAlign w:val="center"/>
          </w:tcPr>
          <w:p w14:paraId="387A70E9">
            <w:pPr>
              <w:pStyle w:val="16"/>
              <w:keepNext/>
              <w:spacing w:after="0" w:line="440" w:lineRule="exact"/>
              <w:ind w:left="63" w:right="63"/>
              <w:rPr>
                <w:rFonts w:eastAsia="仿宋_GB2312"/>
                <w:color w:val="000000"/>
                <w:kern w:val="2"/>
                <w:sz w:val="30"/>
                <w:szCs w:val="30"/>
                <w:lang w:val="en-US" w:eastAsia="zh-CN"/>
              </w:rPr>
            </w:pPr>
          </w:p>
        </w:tc>
      </w:tr>
      <w:tr w14:paraId="7741A22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4E3971C6">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9261D25">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B2E2779">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3DD9D837">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113A944">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5A4661F7">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1F402CE">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DDEAA80">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3B6CBA0">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8668D6C">
            <w:pPr>
              <w:pStyle w:val="16"/>
              <w:keepNext/>
              <w:spacing w:after="0" w:line="440" w:lineRule="exact"/>
              <w:ind w:left="63" w:right="63"/>
              <w:rPr>
                <w:rFonts w:eastAsia="仿宋_GB2312"/>
                <w:color w:val="000000"/>
                <w:kern w:val="2"/>
                <w:sz w:val="30"/>
                <w:szCs w:val="30"/>
                <w:lang w:val="en-US" w:eastAsia="zh-CN"/>
              </w:rPr>
            </w:pPr>
          </w:p>
        </w:tc>
      </w:tr>
      <w:tr w14:paraId="6A7A0B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594434DF">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D1CE5E6">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44DD05F">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29D77CD4">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C05FFEA">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0872A83C">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96D7E51">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550B5AA">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64E5119E">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4C8A017">
            <w:pPr>
              <w:pStyle w:val="16"/>
              <w:keepNext/>
              <w:spacing w:after="0" w:line="440" w:lineRule="exact"/>
              <w:ind w:left="63" w:right="63"/>
              <w:rPr>
                <w:rFonts w:eastAsia="仿宋_GB2312"/>
                <w:color w:val="000000"/>
                <w:kern w:val="2"/>
                <w:sz w:val="30"/>
                <w:szCs w:val="30"/>
                <w:lang w:val="en-US" w:eastAsia="zh-CN"/>
              </w:rPr>
            </w:pPr>
          </w:p>
        </w:tc>
      </w:tr>
      <w:tr w14:paraId="39E988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4A10FD1F">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673C931">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E2A3B06">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6DD35711">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36058841">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43107C31">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06F0C212">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935787C">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2879C784">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5D03FC4">
            <w:pPr>
              <w:pStyle w:val="16"/>
              <w:keepNext/>
              <w:spacing w:after="0" w:line="440" w:lineRule="exact"/>
              <w:ind w:left="63" w:right="63"/>
              <w:rPr>
                <w:rFonts w:eastAsia="仿宋_GB2312"/>
                <w:color w:val="000000"/>
                <w:kern w:val="2"/>
                <w:sz w:val="30"/>
                <w:szCs w:val="30"/>
                <w:lang w:val="en-US" w:eastAsia="zh-CN"/>
              </w:rPr>
            </w:pPr>
          </w:p>
        </w:tc>
      </w:tr>
      <w:tr w14:paraId="2BE2EB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5037072F">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4804E22">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06395DA1">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4DA7255">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6FB46056">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7FF8BEB8">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5B71923F">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9E23CC8">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41962BE3">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75CF5774">
            <w:pPr>
              <w:pStyle w:val="16"/>
              <w:keepNext/>
              <w:spacing w:after="0" w:line="440" w:lineRule="exact"/>
              <w:ind w:left="63" w:right="63"/>
              <w:rPr>
                <w:rFonts w:eastAsia="仿宋_GB2312"/>
                <w:color w:val="000000"/>
                <w:kern w:val="2"/>
                <w:sz w:val="30"/>
                <w:szCs w:val="30"/>
                <w:lang w:val="en-US" w:eastAsia="zh-CN"/>
              </w:rPr>
            </w:pPr>
          </w:p>
        </w:tc>
      </w:tr>
      <w:tr w14:paraId="7E1767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4926B759">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B871E5E">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5AF0A5F">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2A608374">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5E4B34D8">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415B9C05">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DB247F1">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7CADE8E">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301B7E3D">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6188CE45">
            <w:pPr>
              <w:pStyle w:val="16"/>
              <w:keepNext/>
              <w:spacing w:after="0" w:line="440" w:lineRule="exact"/>
              <w:ind w:left="63" w:right="63"/>
              <w:rPr>
                <w:rFonts w:eastAsia="仿宋_GB2312"/>
                <w:color w:val="000000"/>
                <w:kern w:val="2"/>
                <w:sz w:val="30"/>
                <w:szCs w:val="30"/>
                <w:lang w:val="en-US" w:eastAsia="zh-CN"/>
              </w:rPr>
            </w:pPr>
          </w:p>
        </w:tc>
      </w:tr>
      <w:tr w14:paraId="51A1EB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0E8560B4">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2689517F">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3809DFE4">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5E01C430">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18832567">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298F0E36">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46A7437A">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313E13B">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0588248C">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1328CB3F">
            <w:pPr>
              <w:pStyle w:val="16"/>
              <w:keepNext/>
              <w:spacing w:after="0" w:line="440" w:lineRule="exact"/>
              <w:ind w:left="63" w:right="63"/>
              <w:rPr>
                <w:rFonts w:eastAsia="仿宋_GB2312"/>
                <w:color w:val="000000"/>
                <w:kern w:val="2"/>
                <w:sz w:val="30"/>
                <w:szCs w:val="30"/>
                <w:lang w:val="en-US" w:eastAsia="zh-CN"/>
              </w:rPr>
            </w:pPr>
          </w:p>
        </w:tc>
      </w:tr>
      <w:tr w14:paraId="3DF1EF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4B7A79E1">
            <w:pPr>
              <w:jc w:val="center"/>
              <w:rPr>
                <w:rFonts w:eastAsia="仿宋_GB2312"/>
                <w:color w:val="000000"/>
                <w:sz w:val="30"/>
                <w:szCs w:val="30"/>
              </w:rPr>
            </w:pPr>
          </w:p>
        </w:tc>
        <w:tc>
          <w:tcPr>
            <w:tcW w:w="1276" w:type="dxa"/>
            <w:noWrap w:val="0"/>
            <w:vAlign w:val="center"/>
          </w:tcPr>
          <w:p w14:paraId="0339D8FC">
            <w:pPr>
              <w:jc w:val="center"/>
              <w:rPr>
                <w:rFonts w:eastAsia="仿宋_GB2312"/>
                <w:color w:val="000000"/>
                <w:sz w:val="30"/>
                <w:szCs w:val="30"/>
              </w:rPr>
            </w:pPr>
          </w:p>
        </w:tc>
        <w:tc>
          <w:tcPr>
            <w:tcW w:w="1418" w:type="dxa"/>
            <w:noWrap w:val="0"/>
            <w:vAlign w:val="center"/>
          </w:tcPr>
          <w:p w14:paraId="2F9E6A5F">
            <w:pPr>
              <w:jc w:val="center"/>
              <w:rPr>
                <w:rFonts w:eastAsia="仿宋_GB2312"/>
                <w:color w:val="000000"/>
                <w:sz w:val="30"/>
                <w:szCs w:val="30"/>
              </w:rPr>
            </w:pPr>
          </w:p>
        </w:tc>
        <w:tc>
          <w:tcPr>
            <w:tcW w:w="940" w:type="dxa"/>
            <w:noWrap w:val="0"/>
            <w:vAlign w:val="center"/>
          </w:tcPr>
          <w:p w14:paraId="5B300DD3">
            <w:pPr>
              <w:jc w:val="center"/>
              <w:rPr>
                <w:rFonts w:eastAsia="仿宋_GB2312"/>
                <w:color w:val="000000"/>
                <w:sz w:val="30"/>
                <w:szCs w:val="30"/>
              </w:rPr>
            </w:pPr>
          </w:p>
        </w:tc>
        <w:tc>
          <w:tcPr>
            <w:tcW w:w="851" w:type="dxa"/>
            <w:noWrap w:val="0"/>
            <w:vAlign w:val="center"/>
          </w:tcPr>
          <w:p w14:paraId="4533D799">
            <w:pPr>
              <w:jc w:val="center"/>
              <w:rPr>
                <w:rFonts w:eastAsia="仿宋_GB2312"/>
                <w:color w:val="000000"/>
                <w:sz w:val="30"/>
                <w:szCs w:val="30"/>
              </w:rPr>
            </w:pPr>
          </w:p>
        </w:tc>
        <w:tc>
          <w:tcPr>
            <w:tcW w:w="1044" w:type="dxa"/>
            <w:noWrap w:val="0"/>
            <w:vAlign w:val="center"/>
          </w:tcPr>
          <w:p w14:paraId="514E8970">
            <w:pPr>
              <w:jc w:val="center"/>
              <w:rPr>
                <w:rFonts w:eastAsia="仿宋_GB2312"/>
                <w:color w:val="000000"/>
                <w:sz w:val="30"/>
                <w:szCs w:val="30"/>
              </w:rPr>
            </w:pPr>
          </w:p>
        </w:tc>
        <w:tc>
          <w:tcPr>
            <w:tcW w:w="992" w:type="dxa"/>
            <w:noWrap w:val="0"/>
            <w:vAlign w:val="center"/>
          </w:tcPr>
          <w:p w14:paraId="74B2A7C3">
            <w:pPr>
              <w:jc w:val="center"/>
              <w:rPr>
                <w:rFonts w:eastAsia="仿宋_GB2312"/>
                <w:color w:val="000000"/>
                <w:sz w:val="30"/>
                <w:szCs w:val="30"/>
              </w:rPr>
            </w:pPr>
          </w:p>
        </w:tc>
        <w:tc>
          <w:tcPr>
            <w:tcW w:w="851" w:type="dxa"/>
            <w:noWrap w:val="0"/>
            <w:vAlign w:val="center"/>
          </w:tcPr>
          <w:p w14:paraId="2EE164E3">
            <w:pPr>
              <w:jc w:val="center"/>
              <w:rPr>
                <w:rFonts w:eastAsia="仿宋_GB2312"/>
                <w:color w:val="000000"/>
                <w:sz w:val="30"/>
                <w:szCs w:val="30"/>
              </w:rPr>
            </w:pPr>
          </w:p>
        </w:tc>
        <w:tc>
          <w:tcPr>
            <w:tcW w:w="1487" w:type="dxa"/>
            <w:noWrap w:val="0"/>
            <w:vAlign w:val="center"/>
          </w:tcPr>
          <w:p w14:paraId="11FBE5B8">
            <w:pPr>
              <w:jc w:val="center"/>
              <w:rPr>
                <w:rFonts w:eastAsia="仿宋_GB2312"/>
                <w:color w:val="000000"/>
                <w:sz w:val="30"/>
                <w:szCs w:val="30"/>
              </w:rPr>
            </w:pPr>
          </w:p>
        </w:tc>
        <w:tc>
          <w:tcPr>
            <w:tcW w:w="992" w:type="dxa"/>
            <w:noWrap w:val="0"/>
            <w:vAlign w:val="center"/>
          </w:tcPr>
          <w:p w14:paraId="2F238A3C">
            <w:pPr>
              <w:jc w:val="center"/>
              <w:rPr>
                <w:rFonts w:eastAsia="仿宋_GB2312"/>
                <w:color w:val="000000"/>
                <w:sz w:val="30"/>
                <w:szCs w:val="30"/>
              </w:rPr>
            </w:pPr>
          </w:p>
        </w:tc>
      </w:tr>
      <w:tr w14:paraId="272F59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8D48DC0">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3A41E34">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C99F817">
            <w:pPr>
              <w:pStyle w:val="16"/>
              <w:keepNext/>
              <w:spacing w:after="0" w:line="440" w:lineRule="exact"/>
              <w:ind w:left="63" w:right="63"/>
              <w:rPr>
                <w:rFonts w:eastAsia="仿宋_GB2312"/>
                <w:color w:val="000000"/>
                <w:kern w:val="2"/>
                <w:sz w:val="30"/>
                <w:szCs w:val="30"/>
                <w:lang w:val="en-US" w:eastAsia="zh-CN"/>
              </w:rPr>
            </w:pPr>
          </w:p>
        </w:tc>
        <w:tc>
          <w:tcPr>
            <w:tcW w:w="940" w:type="dxa"/>
            <w:noWrap w:val="0"/>
            <w:vAlign w:val="center"/>
          </w:tcPr>
          <w:p w14:paraId="3F5725BF">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22F679FD">
            <w:pPr>
              <w:pStyle w:val="16"/>
              <w:keepNext/>
              <w:spacing w:after="0" w:line="440" w:lineRule="exact"/>
              <w:ind w:left="63" w:right="63"/>
              <w:rPr>
                <w:rFonts w:eastAsia="仿宋_GB2312"/>
                <w:color w:val="000000"/>
                <w:kern w:val="2"/>
                <w:sz w:val="30"/>
                <w:szCs w:val="30"/>
                <w:lang w:val="en-US" w:eastAsia="zh-CN"/>
              </w:rPr>
            </w:pPr>
          </w:p>
        </w:tc>
        <w:tc>
          <w:tcPr>
            <w:tcW w:w="1044" w:type="dxa"/>
            <w:noWrap w:val="0"/>
            <w:vAlign w:val="center"/>
          </w:tcPr>
          <w:p w14:paraId="005E995D">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86B37B2">
            <w:pPr>
              <w:pStyle w:val="16"/>
              <w:keepNext/>
              <w:spacing w:after="0" w:line="440" w:lineRule="exact"/>
              <w:ind w:left="63" w:right="63"/>
              <w:rPr>
                <w:rFonts w:eastAsia="仿宋_GB2312"/>
                <w:color w:val="000000"/>
                <w:kern w:val="2"/>
                <w:sz w:val="30"/>
                <w:szCs w:val="30"/>
                <w:lang w:val="en-US" w:eastAsia="zh-CN"/>
              </w:rPr>
            </w:pPr>
          </w:p>
        </w:tc>
        <w:tc>
          <w:tcPr>
            <w:tcW w:w="851" w:type="dxa"/>
            <w:noWrap w:val="0"/>
            <w:vAlign w:val="center"/>
          </w:tcPr>
          <w:p w14:paraId="0E31157E">
            <w:pPr>
              <w:pStyle w:val="16"/>
              <w:keepNext/>
              <w:spacing w:after="0" w:line="440" w:lineRule="exact"/>
              <w:ind w:left="63" w:right="63"/>
              <w:rPr>
                <w:rFonts w:eastAsia="仿宋_GB2312"/>
                <w:color w:val="000000"/>
                <w:kern w:val="2"/>
                <w:sz w:val="30"/>
                <w:szCs w:val="30"/>
                <w:lang w:val="en-US" w:eastAsia="zh-CN"/>
              </w:rPr>
            </w:pPr>
          </w:p>
        </w:tc>
        <w:tc>
          <w:tcPr>
            <w:tcW w:w="1487" w:type="dxa"/>
            <w:noWrap w:val="0"/>
            <w:vAlign w:val="center"/>
          </w:tcPr>
          <w:p w14:paraId="3A8D16E6">
            <w:pPr>
              <w:pStyle w:val="16"/>
              <w:keepNext/>
              <w:spacing w:after="0" w:line="440" w:lineRule="exact"/>
              <w:ind w:left="63" w:right="63"/>
              <w:rPr>
                <w:rFonts w:eastAsia="仿宋_GB2312"/>
                <w:color w:val="000000"/>
                <w:kern w:val="2"/>
                <w:sz w:val="30"/>
                <w:szCs w:val="30"/>
                <w:lang w:val="en-US" w:eastAsia="zh-CN"/>
              </w:rPr>
            </w:pPr>
          </w:p>
        </w:tc>
        <w:tc>
          <w:tcPr>
            <w:tcW w:w="992" w:type="dxa"/>
            <w:noWrap w:val="0"/>
            <w:vAlign w:val="center"/>
          </w:tcPr>
          <w:p w14:paraId="2830D29F">
            <w:pPr>
              <w:pStyle w:val="16"/>
              <w:keepNext/>
              <w:spacing w:after="0" w:line="440" w:lineRule="exact"/>
              <w:ind w:left="63" w:right="63"/>
              <w:rPr>
                <w:rFonts w:eastAsia="仿宋_GB2312"/>
                <w:color w:val="000000"/>
                <w:kern w:val="2"/>
                <w:sz w:val="30"/>
                <w:szCs w:val="30"/>
                <w:lang w:val="en-US" w:eastAsia="zh-CN"/>
              </w:rPr>
            </w:pPr>
          </w:p>
        </w:tc>
      </w:tr>
      <w:tr w14:paraId="08A173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5BE9F611">
            <w:pPr>
              <w:jc w:val="center"/>
              <w:rPr>
                <w:rFonts w:eastAsia="仿宋_GB2312"/>
                <w:color w:val="000000"/>
                <w:sz w:val="30"/>
                <w:szCs w:val="30"/>
              </w:rPr>
            </w:pPr>
          </w:p>
        </w:tc>
        <w:tc>
          <w:tcPr>
            <w:tcW w:w="1276" w:type="dxa"/>
            <w:noWrap w:val="0"/>
            <w:vAlign w:val="center"/>
          </w:tcPr>
          <w:p w14:paraId="1CB934AE">
            <w:pPr>
              <w:jc w:val="center"/>
              <w:rPr>
                <w:rFonts w:eastAsia="仿宋_GB2312"/>
                <w:color w:val="000000"/>
                <w:sz w:val="30"/>
                <w:szCs w:val="30"/>
              </w:rPr>
            </w:pPr>
          </w:p>
        </w:tc>
        <w:tc>
          <w:tcPr>
            <w:tcW w:w="1418" w:type="dxa"/>
            <w:noWrap w:val="0"/>
            <w:vAlign w:val="center"/>
          </w:tcPr>
          <w:p w14:paraId="358B1BC7">
            <w:pPr>
              <w:jc w:val="center"/>
              <w:rPr>
                <w:rFonts w:eastAsia="仿宋_GB2312"/>
                <w:color w:val="000000"/>
                <w:sz w:val="30"/>
                <w:szCs w:val="30"/>
              </w:rPr>
            </w:pPr>
          </w:p>
        </w:tc>
        <w:tc>
          <w:tcPr>
            <w:tcW w:w="940" w:type="dxa"/>
            <w:noWrap w:val="0"/>
            <w:vAlign w:val="center"/>
          </w:tcPr>
          <w:p w14:paraId="49AB3451">
            <w:pPr>
              <w:jc w:val="center"/>
              <w:rPr>
                <w:rFonts w:eastAsia="仿宋_GB2312"/>
                <w:color w:val="000000"/>
                <w:sz w:val="30"/>
                <w:szCs w:val="30"/>
              </w:rPr>
            </w:pPr>
          </w:p>
        </w:tc>
        <w:tc>
          <w:tcPr>
            <w:tcW w:w="851" w:type="dxa"/>
            <w:noWrap w:val="0"/>
            <w:vAlign w:val="center"/>
          </w:tcPr>
          <w:p w14:paraId="75AB9BA0">
            <w:pPr>
              <w:jc w:val="center"/>
              <w:rPr>
                <w:rFonts w:eastAsia="仿宋_GB2312"/>
                <w:color w:val="000000"/>
                <w:sz w:val="30"/>
                <w:szCs w:val="30"/>
              </w:rPr>
            </w:pPr>
          </w:p>
        </w:tc>
        <w:tc>
          <w:tcPr>
            <w:tcW w:w="1044" w:type="dxa"/>
            <w:noWrap w:val="0"/>
            <w:vAlign w:val="center"/>
          </w:tcPr>
          <w:p w14:paraId="14D3C0CC">
            <w:pPr>
              <w:jc w:val="center"/>
              <w:rPr>
                <w:rFonts w:eastAsia="仿宋_GB2312"/>
                <w:color w:val="000000"/>
                <w:sz w:val="30"/>
                <w:szCs w:val="30"/>
              </w:rPr>
            </w:pPr>
          </w:p>
        </w:tc>
        <w:tc>
          <w:tcPr>
            <w:tcW w:w="992" w:type="dxa"/>
            <w:noWrap w:val="0"/>
            <w:vAlign w:val="center"/>
          </w:tcPr>
          <w:p w14:paraId="418CC7C9">
            <w:pPr>
              <w:jc w:val="center"/>
              <w:rPr>
                <w:rFonts w:eastAsia="仿宋_GB2312"/>
                <w:color w:val="000000"/>
                <w:sz w:val="30"/>
                <w:szCs w:val="30"/>
              </w:rPr>
            </w:pPr>
          </w:p>
        </w:tc>
        <w:tc>
          <w:tcPr>
            <w:tcW w:w="851" w:type="dxa"/>
            <w:noWrap w:val="0"/>
            <w:vAlign w:val="center"/>
          </w:tcPr>
          <w:p w14:paraId="367A5993">
            <w:pPr>
              <w:jc w:val="center"/>
              <w:rPr>
                <w:rFonts w:eastAsia="仿宋_GB2312"/>
                <w:color w:val="000000"/>
                <w:sz w:val="30"/>
                <w:szCs w:val="30"/>
              </w:rPr>
            </w:pPr>
          </w:p>
        </w:tc>
        <w:tc>
          <w:tcPr>
            <w:tcW w:w="1487" w:type="dxa"/>
            <w:noWrap w:val="0"/>
            <w:vAlign w:val="center"/>
          </w:tcPr>
          <w:p w14:paraId="112D4FD4">
            <w:pPr>
              <w:jc w:val="center"/>
              <w:rPr>
                <w:rFonts w:eastAsia="仿宋_GB2312"/>
                <w:color w:val="000000"/>
                <w:sz w:val="30"/>
                <w:szCs w:val="30"/>
              </w:rPr>
            </w:pPr>
          </w:p>
        </w:tc>
        <w:tc>
          <w:tcPr>
            <w:tcW w:w="992" w:type="dxa"/>
            <w:noWrap w:val="0"/>
            <w:vAlign w:val="center"/>
          </w:tcPr>
          <w:p w14:paraId="0ABE6C6F">
            <w:pPr>
              <w:jc w:val="center"/>
              <w:rPr>
                <w:rFonts w:eastAsia="仿宋_GB2312"/>
                <w:color w:val="000000"/>
                <w:sz w:val="30"/>
                <w:szCs w:val="30"/>
              </w:rPr>
            </w:pPr>
          </w:p>
        </w:tc>
      </w:tr>
      <w:tr w14:paraId="7E12F1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B34BE4A">
            <w:pPr>
              <w:jc w:val="center"/>
              <w:rPr>
                <w:rFonts w:eastAsia="仿宋_GB2312"/>
                <w:color w:val="000000"/>
                <w:sz w:val="30"/>
                <w:szCs w:val="30"/>
              </w:rPr>
            </w:pPr>
          </w:p>
        </w:tc>
        <w:tc>
          <w:tcPr>
            <w:tcW w:w="1276" w:type="dxa"/>
            <w:noWrap w:val="0"/>
            <w:vAlign w:val="center"/>
          </w:tcPr>
          <w:p w14:paraId="0BEB430B">
            <w:pPr>
              <w:jc w:val="center"/>
              <w:rPr>
                <w:rFonts w:eastAsia="仿宋_GB2312"/>
                <w:color w:val="000000"/>
                <w:sz w:val="30"/>
                <w:szCs w:val="30"/>
              </w:rPr>
            </w:pPr>
          </w:p>
        </w:tc>
        <w:tc>
          <w:tcPr>
            <w:tcW w:w="1418" w:type="dxa"/>
            <w:noWrap w:val="0"/>
            <w:vAlign w:val="center"/>
          </w:tcPr>
          <w:p w14:paraId="0B6CCDA6">
            <w:pPr>
              <w:jc w:val="center"/>
              <w:rPr>
                <w:rFonts w:eastAsia="仿宋_GB2312"/>
                <w:color w:val="000000"/>
                <w:sz w:val="30"/>
                <w:szCs w:val="30"/>
              </w:rPr>
            </w:pPr>
          </w:p>
        </w:tc>
        <w:tc>
          <w:tcPr>
            <w:tcW w:w="940" w:type="dxa"/>
            <w:noWrap w:val="0"/>
            <w:vAlign w:val="center"/>
          </w:tcPr>
          <w:p w14:paraId="0E8B272C">
            <w:pPr>
              <w:jc w:val="center"/>
              <w:rPr>
                <w:rFonts w:eastAsia="仿宋_GB2312"/>
                <w:color w:val="000000"/>
                <w:sz w:val="30"/>
                <w:szCs w:val="30"/>
              </w:rPr>
            </w:pPr>
          </w:p>
        </w:tc>
        <w:tc>
          <w:tcPr>
            <w:tcW w:w="851" w:type="dxa"/>
            <w:noWrap w:val="0"/>
            <w:vAlign w:val="center"/>
          </w:tcPr>
          <w:p w14:paraId="3632B25F">
            <w:pPr>
              <w:jc w:val="center"/>
              <w:rPr>
                <w:rFonts w:eastAsia="仿宋_GB2312"/>
                <w:color w:val="000000"/>
                <w:sz w:val="30"/>
                <w:szCs w:val="30"/>
              </w:rPr>
            </w:pPr>
          </w:p>
        </w:tc>
        <w:tc>
          <w:tcPr>
            <w:tcW w:w="1044" w:type="dxa"/>
            <w:noWrap w:val="0"/>
            <w:vAlign w:val="center"/>
          </w:tcPr>
          <w:p w14:paraId="311DB4A7">
            <w:pPr>
              <w:jc w:val="center"/>
              <w:rPr>
                <w:rFonts w:eastAsia="仿宋_GB2312"/>
                <w:color w:val="000000"/>
                <w:sz w:val="30"/>
                <w:szCs w:val="30"/>
              </w:rPr>
            </w:pPr>
          </w:p>
        </w:tc>
        <w:tc>
          <w:tcPr>
            <w:tcW w:w="992" w:type="dxa"/>
            <w:noWrap w:val="0"/>
            <w:vAlign w:val="center"/>
          </w:tcPr>
          <w:p w14:paraId="4D8BA7A0">
            <w:pPr>
              <w:jc w:val="center"/>
              <w:rPr>
                <w:rFonts w:eastAsia="仿宋_GB2312"/>
                <w:color w:val="000000"/>
                <w:sz w:val="30"/>
                <w:szCs w:val="30"/>
              </w:rPr>
            </w:pPr>
          </w:p>
        </w:tc>
        <w:tc>
          <w:tcPr>
            <w:tcW w:w="851" w:type="dxa"/>
            <w:noWrap w:val="0"/>
            <w:vAlign w:val="center"/>
          </w:tcPr>
          <w:p w14:paraId="4B219112">
            <w:pPr>
              <w:jc w:val="center"/>
              <w:rPr>
                <w:rFonts w:eastAsia="仿宋_GB2312"/>
                <w:color w:val="000000"/>
                <w:sz w:val="30"/>
                <w:szCs w:val="30"/>
              </w:rPr>
            </w:pPr>
          </w:p>
        </w:tc>
        <w:tc>
          <w:tcPr>
            <w:tcW w:w="1487" w:type="dxa"/>
            <w:noWrap w:val="0"/>
            <w:vAlign w:val="center"/>
          </w:tcPr>
          <w:p w14:paraId="5B356FEF">
            <w:pPr>
              <w:jc w:val="center"/>
              <w:rPr>
                <w:rFonts w:eastAsia="仿宋_GB2312"/>
                <w:color w:val="000000"/>
                <w:sz w:val="30"/>
                <w:szCs w:val="30"/>
              </w:rPr>
            </w:pPr>
          </w:p>
        </w:tc>
        <w:tc>
          <w:tcPr>
            <w:tcW w:w="992" w:type="dxa"/>
            <w:noWrap w:val="0"/>
            <w:vAlign w:val="center"/>
          </w:tcPr>
          <w:p w14:paraId="034BD4ED">
            <w:pPr>
              <w:jc w:val="center"/>
              <w:rPr>
                <w:rFonts w:eastAsia="仿宋_GB2312"/>
                <w:color w:val="000000"/>
                <w:sz w:val="30"/>
                <w:szCs w:val="30"/>
              </w:rPr>
            </w:pPr>
          </w:p>
        </w:tc>
      </w:tr>
      <w:tr w14:paraId="11FF32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2DF02A51">
            <w:pPr>
              <w:jc w:val="center"/>
              <w:rPr>
                <w:rFonts w:eastAsia="仿宋_GB2312"/>
                <w:color w:val="000000"/>
                <w:sz w:val="30"/>
                <w:szCs w:val="30"/>
              </w:rPr>
            </w:pPr>
          </w:p>
        </w:tc>
        <w:tc>
          <w:tcPr>
            <w:tcW w:w="1276" w:type="dxa"/>
            <w:noWrap w:val="0"/>
            <w:vAlign w:val="center"/>
          </w:tcPr>
          <w:p w14:paraId="51E3759C">
            <w:pPr>
              <w:jc w:val="center"/>
              <w:rPr>
                <w:rFonts w:eastAsia="仿宋_GB2312"/>
                <w:color w:val="000000"/>
                <w:sz w:val="30"/>
                <w:szCs w:val="30"/>
              </w:rPr>
            </w:pPr>
          </w:p>
        </w:tc>
        <w:tc>
          <w:tcPr>
            <w:tcW w:w="1418" w:type="dxa"/>
            <w:noWrap w:val="0"/>
            <w:vAlign w:val="center"/>
          </w:tcPr>
          <w:p w14:paraId="6F6C5D8A">
            <w:pPr>
              <w:jc w:val="center"/>
              <w:rPr>
                <w:rFonts w:eastAsia="仿宋_GB2312"/>
                <w:color w:val="000000"/>
                <w:sz w:val="30"/>
                <w:szCs w:val="30"/>
              </w:rPr>
            </w:pPr>
          </w:p>
        </w:tc>
        <w:tc>
          <w:tcPr>
            <w:tcW w:w="940" w:type="dxa"/>
            <w:noWrap w:val="0"/>
            <w:vAlign w:val="center"/>
          </w:tcPr>
          <w:p w14:paraId="589ABB12">
            <w:pPr>
              <w:jc w:val="center"/>
              <w:rPr>
                <w:rFonts w:eastAsia="仿宋_GB2312"/>
                <w:color w:val="000000"/>
                <w:sz w:val="30"/>
                <w:szCs w:val="30"/>
              </w:rPr>
            </w:pPr>
          </w:p>
        </w:tc>
        <w:tc>
          <w:tcPr>
            <w:tcW w:w="851" w:type="dxa"/>
            <w:noWrap w:val="0"/>
            <w:vAlign w:val="center"/>
          </w:tcPr>
          <w:p w14:paraId="1D88C859">
            <w:pPr>
              <w:jc w:val="center"/>
              <w:rPr>
                <w:rFonts w:eastAsia="仿宋_GB2312"/>
                <w:color w:val="000000"/>
                <w:sz w:val="30"/>
                <w:szCs w:val="30"/>
              </w:rPr>
            </w:pPr>
          </w:p>
        </w:tc>
        <w:tc>
          <w:tcPr>
            <w:tcW w:w="1044" w:type="dxa"/>
            <w:noWrap w:val="0"/>
            <w:vAlign w:val="center"/>
          </w:tcPr>
          <w:p w14:paraId="4DB8C75F">
            <w:pPr>
              <w:jc w:val="center"/>
              <w:rPr>
                <w:rFonts w:eastAsia="仿宋_GB2312"/>
                <w:color w:val="000000"/>
                <w:sz w:val="30"/>
                <w:szCs w:val="30"/>
              </w:rPr>
            </w:pPr>
          </w:p>
        </w:tc>
        <w:tc>
          <w:tcPr>
            <w:tcW w:w="992" w:type="dxa"/>
            <w:noWrap w:val="0"/>
            <w:vAlign w:val="center"/>
          </w:tcPr>
          <w:p w14:paraId="5F482756">
            <w:pPr>
              <w:jc w:val="center"/>
              <w:rPr>
                <w:rFonts w:eastAsia="仿宋_GB2312"/>
                <w:color w:val="000000"/>
                <w:sz w:val="30"/>
                <w:szCs w:val="30"/>
              </w:rPr>
            </w:pPr>
          </w:p>
        </w:tc>
        <w:tc>
          <w:tcPr>
            <w:tcW w:w="851" w:type="dxa"/>
            <w:noWrap w:val="0"/>
            <w:vAlign w:val="center"/>
          </w:tcPr>
          <w:p w14:paraId="35F26258">
            <w:pPr>
              <w:jc w:val="center"/>
              <w:rPr>
                <w:rFonts w:eastAsia="仿宋_GB2312"/>
                <w:color w:val="000000"/>
                <w:sz w:val="30"/>
                <w:szCs w:val="30"/>
              </w:rPr>
            </w:pPr>
          </w:p>
        </w:tc>
        <w:tc>
          <w:tcPr>
            <w:tcW w:w="1487" w:type="dxa"/>
            <w:noWrap w:val="0"/>
            <w:vAlign w:val="center"/>
          </w:tcPr>
          <w:p w14:paraId="0D63ABE9">
            <w:pPr>
              <w:jc w:val="center"/>
              <w:rPr>
                <w:rFonts w:eastAsia="仿宋_GB2312"/>
                <w:color w:val="000000"/>
                <w:sz w:val="30"/>
                <w:szCs w:val="30"/>
              </w:rPr>
            </w:pPr>
          </w:p>
        </w:tc>
        <w:tc>
          <w:tcPr>
            <w:tcW w:w="992" w:type="dxa"/>
            <w:noWrap w:val="0"/>
            <w:vAlign w:val="center"/>
          </w:tcPr>
          <w:p w14:paraId="05783973">
            <w:pPr>
              <w:jc w:val="center"/>
              <w:rPr>
                <w:rFonts w:eastAsia="仿宋_GB2312"/>
                <w:color w:val="000000"/>
                <w:sz w:val="30"/>
                <w:szCs w:val="30"/>
              </w:rPr>
            </w:pPr>
          </w:p>
        </w:tc>
      </w:tr>
      <w:tr w14:paraId="29D144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179D9239">
            <w:pPr>
              <w:jc w:val="center"/>
              <w:rPr>
                <w:rFonts w:eastAsia="仿宋_GB2312"/>
                <w:color w:val="000000"/>
                <w:sz w:val="30"/>
                <w:szCs w:val="30"/>
              </w:rPr>
            </w:pPr>
          </w:p>
        </w:tc>
        <w:tc>
          <w:tcPr>
            <w:tcW w:w="1276" w:type="dxa"/>
            <w:noWrap w:val="0"/>
            <w:vAlign w:val="center"/>
          </w:tcPr>
          <w:p w14:paraId="0EFA859C">
            <w:pPr>
              <w:jc w:val="center"/>
              <w:rPr>
                <w:rFonts w:eastAsia="仿宋_GB2312"/>
                <w:color w:val="000000"/>
                <w:sz w:val="30"/>
                <w:szCs w:val="30"/>
              </w:rPr>
            </w:pPr>
          </w:p>
        </w:tc>
        <w:tc>
          <w:tcPr>
            <w:tcW w:w="1418" w:type="dxa"/>
            <w:noWrap w:val="0"/>
            <w:vAlign w:val="center"/>
          </w:tcPr>
          <w:p w14:paraId="2AC679AD">
            <w:pPr>
              <w:jc w:val="center"/>
              <w:rPr>
                <w:rFonts w:eastAsia="仿宋_GB2312"/>
                <w:color w:val="000000"/>
                <w:sz w:val="30"/>
                <w:szCs w:val="30"/>
              </w:rPr>
            </w:pPr>
          </w:p>
        </w:tc>
        <w:tc>
          <w:tcPr>
            <w:tcW w:w="940" w:type="dxa"/>
            <w:noWrap w:val="0"/>
            <w:vAlign w:val="center"/>
          </w:tcPr>
          <w:p w14:paraId="2AE0B710">
            <w:pPr>
              <w:jc w:val="center"/>
              <w:rPr>
                <w:rFonts w:eastAsia="仿宋_GB2312"/>
                <w:color w:val="000000"/>
                <w:sz w:val="30"/>
                <w:szCs w:val="30"/>
              </w:rPr>
            </w:pPr>
          </w:p>
        </w:tc>
        <w:tc>
          <w:tcPr>
            <w:tcW w:w="851" w:type="dxa"/>
            <w:noWrap w:val="0"/>
            <w:vAlign w:val="center"/>
          </w:tcPr>
          <w:p w14:paraId="1ADF77AF">
            <w:pPr>
              <w:jc w:val="center"/>
              <w:rPr>
                <w:rFonts w:eastAsia="仿宋_GB2312"/>
                <w:color w:val="000000"/>
                <w:sz w:val="30"/>
                <w:szCs w:val="30"/>
              </w:rPr>
            </w:pPr>
          </w:p>
        </w:tc>
        <w:tc>
          <w:tcPr>
            <w:tcW w:w="1044" w:type="dxa"/>
            <w:noWrap w:val="0"/>
            <w:vAlign w:val="center"/>
          </w:tcPr>
          <w:p w14:paraId="0AF93FE0">
            <w:pPr>
              <w:jc w:val="center"/>
              <w:rPr>
                <w:rFonts w:eastAsia="仿宋_GB2312"/>
                <w:color w:val="000000"/>
                <w:sz w:val="30"/>
                <w:szCs w:val="30"/>
              </w:rPr>
            </w:pPr>
          </w:p>
        </w:tc>
        <w:tc>
          <w:tcPr>
            <w:tcW w:w="992" w:type="dxa"/>
            <w:noWrap w:val="0"/>
            <w:vAlign w:val="center"/>
          </w:tcPr>
          <w:p w14:paraId="5C9F6393">
            <w:pPr>
              <w:jc w:val="center"/>
              <w:rPr>
                <w:rFonts w:eastAsia="仿宋_GB2312"/>
                <w:color w:val="000000"/>
                <w:sz w:val="30"/>
                <w:szCs w:val="30"/>
              </w:rPr>
            </w:pPr>
          </w:p>
        </w:tc>
        <w:tc>
          <w:tcPr>
            <w:tcW w:w="851" w:type="dxa"/>
            <w:noWrap w:val="0"/>
            <w:vAlign w:val="center"/>
          </w:tcPr>
          <w:p w14:paraId="29B6BBE6">
            <w:pPr>
              <w:jc w:val="center"/>
              <w:rPr>
                <w:rFonts w:eastAsia="仿宋_GB2312"/>
                <w:color w:val="000000"/>
                <w:sz w:val="30"/>
                <w:szCs w:val="30"/>
              </w:rPr>
            </w:pPr>
          </w:p>
        </w:tc>
        <w:tc>
          <w:tcPr>
            <w:tcW w:w="1487" w:type="dxa"/>
            <w:noWrap w:val="0"/>
            <w:vAlign w:val="center"/>
          </w:tcPr>
          <w:p w14:paraId="20C9D30E">
            <w:pPr>
              <w:jc w:val="center"/>
              <w:rPr>
                <w:rFonts w:eastAsia="仿宋_GB2312"/>
                <w:color w:val="000000"/>
                <w:sz w:val="30"/>
                <w:szCs w:val="30"/>
              </w:rPr>
            </w:pPr>
          </w:p>
        </w:tc>
        <w:tc>
          <w:tcPr>
            <w:tcW w:w="992" w:type="dxa"/>
            <w:noWrap w:val="0"/>
            <w:vAlign w:val="center"/>
          </w:tcPr>
          <w:p w14:paraId="0BD220E4">
            <w:pPr>
              <w:jc w:val="center"/>
              <w:rPr>
                <w:rFonts w:eastAsia="仿宋_GB2312"/>
                <w:color w:val="000000"/>
                <w:sz w:val="30"/>
                <w:szCs w:val="30"/>
              </w:rPr>
            </w:pPr>
          </w:p>
        </w:tc>
      </w:tr>
      <w:tr w14:paraId="2970764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6B05276D">
            <w:pPr>
              <w:jc w:val="center"/>
              <w:rPr>
                <w:rFonts w:eastAsia="仿宋_GB2312"/>
                <w:color w:val="000000"/>
                <w:sz w:val="30"/>
                <w:szCs w:val="30"/>
              </w:rPr>
            </w:pPr>
          </w:p>
        </w:tc>
        <w:tc>
          <w:tcPr>
            <w:tcW w:w="1276" w:type="dxa"/>
            <w:noWrap w:val="0"/>
            <w:vAlign w:val="center"/>
          </w:tcPr>
          <w:p w14:paraId="3A26095D">
            <w:pPr>
              <w:jc w:val="center"/>
              <w:rPr>
                <w:rFonts w:eastAsia="仿宋_GB2312"/>
                <w:color w:val="000000"/>
                <w:sz w:val="30"/>
                <w:szCs w:val="30"/>
              </w:rPr>
            </w:pPr>
          </w:p>
        </w:tc>
        <w:tc>
          <w:tcPr>
            <w:tcW w:w="1418" w:type="dxa"/>
            <w:noWrap w:val="0"/>
            <w:vAlign w:val="center"/>
          </w:tcPr>
          <w:p w14:paraId="7EC04571">
            <w:pPr>
              <w:jc w:val="center"/>
              <w:rPr>
                <w:rFonts w:eastAsia="仿宋_GB2312"/>
                <w:color w:val="000000"/>
                <w:sz w:val="30"/>
                <w:szCs w:val="30"/>
              </w:rPr>
            </w:pPr>
          </w:p>
        </w:tc>
        <w:tc>
          <w:tcPr>
            <w:tcW w:w="940" w:type="dxa"/>
            <w:noWrap w:val="0"/>
            <w:vAlign w:val="center"/>
          </w:tcPr>
          <w:p w14:paraId="7428B271">
            <w:pPr>
              <w:jc w:val="center"/>
              <w:rPr>
                <w:rFonts w:eastAsia="仿宋_GB2312"/>
                <w:color w:val="000000"/>
                <w:sz w:val="30"/>
                <w:szCs w:val="30"/>
              </w:rPr>
            </w:pPr>
          </w:p>
        </w:tc>
        <w:tc>
          <w:tcPr>
            <w:tcW w:w="851" w:type="dxa"/>
            <w:noWrap w:val="0"/>
            <w:vAlign w:val="center"/>
          </w:tcPr>
          <w:p w14:paraId="27D94D28">
            <w:pPr>
              <w:jc w:val="center"/>
              <w:rPr>
                <w:rFonts w:eastAsia="仿宋_GB2312"/>
                <w:color w:val="000000"/>
                <w:sz w:val="30"/>
                <w:szCs w:val="30"/>
              </w:rPr>
            </w:pPr>
          </w:p>
        </w:tc>
        <w:tc>
          <w:tcPr>
            <w:tcW w:w="1044" w:type="dxa"/>
            <w:noWrap w:val="0"/>
            <w:vAlign w:val="center"/>
          </w:tcPr>
          <w:p w14:paraId="42DC01A3">
            <w:pPr>
              <w:jc w:val="center"/>
              <w:rPr>
                <w:rFonts w:eastAsia="仿宋_GB2312"/>
                <w:color w:val="000000"/>
                <w:sz w:val="30"/>
                <w:szCs w:val="30"/>
              </w:rPr>
            </w:pPr>
          </w:p>
        </w:tc>
        <w:tc>
          <w:tcPr>
            <w:tcW w:w="992" w:type="dxa"/>
            <w:noWrap w:val="0"/>
            <w:vAlign w:val="center"/>
          </w:tcPr>
          <w:p w14:paraId="6443E9C5">
            <w:pPr>
              <w:jc w:val="center"/>
              <w:rPr>
                <w:rFonts w:eastAsia="仿宋_GB2312"/>
                <w:color w:val="000000"/>
                <w:sz w:val="30"/>
                <w:szCs w:val="30"/>
              </w:rPr>
            </w:pPr>
          </w:p>
        </w:tc>
        <w:tc>
          <w:tcPr>
            <w:tcW w:w="851" w:type="dxa"/>
            <w:noWrap w:val="0"/>
            <w:vAlign w:val="center"/>
          </w:tcPr>
          <w:p w14:paraId="0E357C97">
            <w:pPr>
              <w:jc w:val="center"/>
              <w:rPr>
                <w:rFonts w:eastAsia="仿宋_GB2312"/>
                <w:color w:val="000000"/>
                <w:sz w:val="30"/>
                <w:szCs w:val="30"/>
              </w:rPr>
            </w:pPr>
          </w:p>
        </w:tc>
        <w:tc>
          <w:tcPr>
            <w:tcW w:w="1487" w:type="dxa"/>
            <w:noWrap w:val="0"/>
            <w:vAlign w:val="center"/>
          </w:tcPr>
          <w:p w14:paraId="7042B033">
            <w:pPr>
              <w:jc w:val="center"/>
              <w:rPr>
                <w:rFonts w:eastAsia="仿宋_GB2312"/>
                <w:color w:val="000000"/>
                <w:sz w:val="30"/>
                <w:szCs w:val="30"/>
              </w:rPr>
            </w:pPr>
          </w:p>
        </w:tc>
        <w:tc>
          <w:tcPr>
            <w:tcW w:w="992" w:type="dxa"/>
            <w:noWrap w:val="0"/>
            <w:vAlign w:val="center"/>
          </w:tcPr>
          <w:p w14:paraId="133C8E85">
            <w:pPr>
              <w:jc w:val="center"/>
              <w:rPr>
                <w:rFonts w:eastAsia="仿宋_GB2312"/>
                <w:color w:val="000000"/>
                <w:sz w:val="30"/>
                <w:szCs w:val="30"/>
              </w:rPr>
            </w:pPr>
          </w:p>
        </w:tc>
      </w:tr>
      <w:tr w14:paraId="77DC82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5C95C992">
            <w:pPr>
              <w:jc w:val="center"/>
              <w:rPr>
                <w:rFonts w:eastAsia="仿宋_GB2312"/>
                <w:color w:val="000000"/>
                <w:sz w:val="30"/>
                <w:szCs w:val="30"/>
              </w:rPr>
            </w:pPr>
          </w:p>
        </w:tc>
        <w:tc>
          <w:tcPr>
            <w:tcW w:w="1276" w:type="dxa"/>
            <w:noWrap w:val="0"/>
            <w:vAlign w:val="center"/>
          </w:tcPr>
          <w:p w14:paraId="1C807675">
            <w:pPr>
              <w:jc w:val="center"/>
              <w:rPr>
                <w:rFonts w:eastAsia="仿宋_GB2312"/>
                <w:color w:val="000000"/>
                <w:sz w:val="30"/>
                <w:szCs w:val="30"/>
              </w:rPr>
            </w:pPr>
          </w:p>
        </w:tc>
        <w:tc>
          <w:tcPr>
            <w:tcW w:w="1418" w:type="dxa"/>
            <w:noWrap w:val="0"/>
            <w:vAlign w:val="center"/>
          </w:tcPr>
          <w:p w14:paraId="4D908C18">
            <w:pPr>
              <w:jc w:val="center"/>
              <w:rPr>
                <w:rFonts w:eastAsia="仿宋_GB2312"/>
                <w:color w:val="000000"/>
                <w:sz w:val="30"/>
                <w:szCs w:val="30"/>
              </w:rPr>
            </w:pPr>
          </w:p>
        </w:tc>
        <w:tc>
          <w:tcPr>
            <w:tcW w:w="940" w:type="dxa"/>
            <w:noWrap w:val="0"/>
            <w:vAlign w:val="center"/>
          </w:tcPr>
          <w:p w14:paraId="377E6F41">
            <w:pPr>
              <w:jc w:val="center"/>
              <w:rPr>
                <w:rFonts w:eastAsia="仿宋_GB2312"/>
                <w:color w:val="000000"/>
                <w:sz w:val="30"/>
                <w:szCs w:val="30"/>
              </w:rPr>
            </w:pPr>
          </w:p>
        </w:tc>
        <w:tc>
          <w:tcPr>
            <w:tcW w:w="851" w:type="dxa"/>
            <w:noWrap w:val="0"/>
            <w:vAlign w:val="center"/>
          </w:tcPr>
          <w:p w14:paraId="2FA9E73B">
            <w:pPr>
              <w:jc w:val="center"/>
              <w:rPr>
                <w:rFonts w:eastAsia="仿宋_GB2312"/>
                <w:color w:val="000000"/>
                <w:sz w:val="30"/>
                <w:szCs w:val="30"/>
              </w:rPr>
            </w:pPr>
          </w:p>
        </w:tc>
        <w:tc>
          <w:tcPr>
            <w:tcW w:w="1044" w:type="dxa"/>
            <w:noWrap w:val="0"/>
            <w:vAlign w:val="center"/>
          </w:tcPr>
          <w:p w14:paraId="3E1BA5CF">
            <w:pPr>
              <w:jc w:val="center"/>
              <w:rPr>
                <w:rFonts w:eastAsia="仿宋_GB2312"/>
                <w:color w:val="000000"/>
                <w:sz w:val="30"/>
                <w:szCs w:val="30"/>
              </w:rPr>
            </w:pPr>
          </w:p>
        </w:tc>
        <w:tc>
          <w:tcPr>
            <w:tcW w:w="992" w:type="dxa"/>
            <w:noWrap w:val="0"/>
            <w:vAlign w:val="center"/>
          </w:tcPr>
          <w:p w14:paraId="21A5E66A">
            <w:pPr>
              <w:jc w:val="center"/>
              <w:rPr>
                <w:rFonts w:eastAsia="仿宋_GB2312"/>
                <w:color w:val="000000"/>
                <w:sz w:val="30"/>
                <w:szCs w:val="30"/>
              </w:rPr>
            </w:pPr>
          </w:p>
        </w:tc>
        <w:tc>
          <w:tcPr>
            <w:tcW w:w="851" w:type="dxa"/>
            <w:noWrap w:val="0"/>
            <w:vAlign w:val="center"/>
          </w:tcPr>
          <w:p w14:paraId="1908FA61">
            <w:pPr>
              <w:jc w:val="center"/>
              <w:rPr>
                <w:rFonts w:eastAsia="仿宋_GB2312"/>
                <w:color w:val="000000"/>
                <w:sz w:val="30"/>
                <w:szCs w:val="30"/>
              </w:rPr>
            </w:pPr>
          </w:p>
        </w:tc>
        <w:tc>
          <w:tcPr>
            <w:tcW w:w="1487" w:type="dxa"/>
            <w:noWrap w:val="0"/>
            <w:vAlign w:val="center"/>
          </w:tcPr>
          <w:p w14:paraId="665C52D4">
            <w:pPr>
              <w:jc w:val="center"/>
              <w:rPr>
                <w:rFonts w:eastAsia="仿宋_GB2312"/>
                <w:color w:val="000000"/>
                <w:sz w:val="30"/>
                <w:szCs w:val="30"/>
              </w:rPr>
            </w:pPr>
          </w:p>
        </w:tc>
        <w:tc>
          <w:tcPr>
            <w:tcW w:w="992" w:type="dxa"/>
            <w:noWrap w:val="0"/>
            <w:vAlign w:val="center"/>
          </w:tcPr>
          <w:p w14:paraId="20DC3678">
            <w:pPr>
              <w:jc w:val="center"/>
              <w:rPr>
                <w:rFonts w:eastAsia="仿宋_GB2312"/>
                <w:color w:val="000000"/>
                <w:sz w:val="30"/>
                <w:szCs w:val="30"/>
              </w:rPr>
            </w:pPr>
          </w:p>
        </w:tc>
      </w:tr>
      <w:tr w14:paraId="2D6ABC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253E1950">
            <w:pPr>
              <w:jc w:val="center"/>
              <w:rPr>
                <w:rFonts w:eastAsia="仿宋_GB2312"/>
                <w:color w:val="000000"/>
                <w:sz w:val="30"/>
                <w:szCs w:val="30"/>
              </w:rPr>
            </w:pPr>
          </w:p>
        </w:tc>
        <w:tc>
          <w:tcPr>
            <w:tcW w:w="1276" w:type="dxa"/>
            <w:noWrap w:val="0"/>
            <w:vAlign w:val="center"/>
          </w:tcPr>
          <w:p w14:paraId="355380AE">
            <w:pPr>
              <w:jc w:val="center"/>
              <w:rPr>
                <w:rFonts w:eastAsia="仿宋_GB2312"/>
                <w:color w:val="000000"/>
                <w:sz w:val="30"/>
                <w:szCs w:val="30"/>
              </w:rPr>
            </w:pPr>
          </w:p>
        </w:tc>
        <w:tc>
          <w:tcPr>
            <w:tcW w:w="1418" w:type="dxa"/>
            <w:noWrap w:val="0"/>
            <w:vAlign w:val="center"/>
          </w:tcPr>
          <w:p w14:paraId="4188C091">
            <w:pPr>
              <w:jc w:val="center"/>
              <w:rPr>
                <w:rFonts w:eastAsia="仿宋_GB2312"/>
                <w:color w:val="000000"/>
                <w:sz w:val="30"/>
                <w:szCs w:val="30"/>
              </w:rPr>
            </w:pPr>
          </w:p>
        </w:tc>
        <w:tc>
          <w:tcPr>
            <w:tcW w:w="940" w:type="dxa"/>
            <w:noWrap w:val="0"/>
            <w:vAlign w:val="center"/>
          </w:tcPr>
          <w:p w14:paraId="653E43A4">
            <w:pPr>
              <w:jc w:val="center"/>
              <w:rPr>
                <w:rFonts w:eastAsia="仿宋_GB2312"/>
                <w:color w:val="000000"/>
                <w:sz w:val="30"/>
                <w:szCs w:val="30"/>
              </w:rPr>
            </w:pPr>
          </w:p>
        </w:tc>
        <w:tc>
          <w:tcPr>
            <w:tcW w:w="851" w:type="dxa"/>
            <w:noWrap w:val="0"/>
            <w:vAlign w:val="center"/>
          </w:tcPr>
          <w:p w14:paraId="320E70D6">
            <w:pPr>
              <w:jc w:val="center"/>
              <w:rPr>
                <w:rFonts w:eastAsia="仿宋_GB2312"/>
                <w:color w:val="000000"/>
                <w:sz w:val="30"/>
                <w:szCs w:val="30"/>
              </w:rPr>
            </w:pPr>
          </w:p>
        </w:tc>
        <w:tc>
          <w:tcPr>
            <w:tcW w:w="1044" w:type="dxa"/>
            <w:noWrap w:val="0"/>
            <w:vAlign w:val="center"/>
          </w:tcPr>
          <w:p w14:paraId="0EC95915">
            <w:pPr>
              <w:jc w:val="center"/>
              <w:rPr>
                <w:rFonts w:eastAsia="仿宋_GB2312"/>
                <w:color w:val="000000"/>
                <w:sz w:val="30"/>
                <w:szCs w:val="30"/>
              </w:rPr>
            </w:pPr>
          </w:p>
        </w:tc>
        <w:tc>
          <w:tcPr>
            <w:tcW w:w="992" w:type="dxa"/>
            <w:noWrap w:val="0"/>
            <w:vAlign w:val="center"/>
          </w:tcPr>
          <w:p w14:paraId="4053142D">
            <w:pPr>
              <w:jc w:val="center"/>
              <w:rPr>
                <w:rFonts w:eastAsia="仿宋_GB2312"/>
                <w:color w:val="000000"/>
                <w:sz w:val="30"/>
                <w:szCs w:val="30"/>
              </w:rPr>
            </w:pPr>
          </w:p>
        </w:tc>
        <w:tc>
          <w:tcPr>
            <w:tcW w:w="851" w:type="dxa"/>
            <w:noWrap w:val="0"/>
            <w:vAlign w:val="center"/>
          </w:tcPr>
          <w:p w14:paraId="41DD29EB">
            <w:pPr>
              <w:jc w:val="center"/>
              <w:rPr>
                <w:rFonts w:eastAsia="仿宋_GB2312"/>
                <w:color w:val="000000"/>
                <w:sz w:val="30"/>
                <w:szCs w:val="30"/>
              </w:rPr>
            </w:pPr>
          </w:p>
        </w:tc>
        <w:tc>
          <w:tcPr>
            <w:tcW w:w="1487" w:type="dxa"/>
            <w:noWrap w:val="0"/>
            <w:vAlign w:val="center"/>
          </w:tcPr>
          <w:p w14:paraId="73C8519D">
            <w:pPr>
              <w:jc w:val="center"/>
              <w:rPr>
                <w:rFonts w:eastAsia="仿宋_GB2312"/>
                <w:color w:val="000000"/>
                <w:sz w:val="30"/>
                <w:szCs w:val="30"/>
              </w:rPr>
            </w:pPr>
          </w:p>
        </w:tc>
        <w:tc>
          <w:tcPr>
            <w:tcW w:w="992" w:type="dxa"/>
            <w:noWrap w:val="0"/>
            <w:vAlign w:val="center"/>
          </w:tcPr>
          <w:p w14:paraId="3CEFD963">
            <w:pPr>
              <w:jc w:val="center"/>
              <w:rPr>
                <w:rFonts w:eastAsia="仿宋_GB2312"/>
                <w:color w:val="000000"/>
                <w:sz w:val="30"/>
                <w:szCs w:val="30"/>
              </w:rPr>
            </w:pPr>
          </w:p>
        </w:tc>
      </w:tr>
      <w:tr w14:paraId="468EE8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851" w:type="dxa"/>
            <w:noWrap w:val="0"/>
            <w:vAlign w:val="center"/>
          </w:tcPr>
          <w:p w14:paraId="244DFFFF">
            <w:pPr>
              <w:jc w:val="center"/>
              <w:rPr>
                <w:rFonts w:eastAsia="仿宋_GB2312"/>
                <w:color w:val="000000"/>
                <w:sz w:val="30"/>
                <w:szCs w:val="30"/>
              </w:rPr>
            </w:pPr>
          </w:p>
        </w:tc>
        <w:tc>
          <w:tcPr>
            <w:tcW w:w="1276" w:type="dxa"/>
            <w:noWrap w:val="0"/>
            <w:vAlign w:val="center"/>
          </w:tcPr>
          <w:p w14:paraId="378ABACD">
            <w:pPr>
              <w:jc w:val="center"/>
              <w:rPr>
                <w:rFonts w:eastAsia="仿宋_GB2312"/>
                <w:color w:val="000000"/>
                <w:sz w:val="30"/>
                <w:szCs w:val="30"/>
              </w:rPr>
            </w:pPr>
          </w:p>
        </w:tc>
        <w:tc>
          <w:tcPr>
            <w:tcW w:w="1418" w:type="dxa"/>
            <w:noWrap w:val="0"/>
            <w:vAlign w:val="center"/>
          </w:tcPr>
          <w:p w14:paraId="5BE65B28">
            <w:pPr>
              <w:jc w:val="center"/>
              <w:rPr>
                <w:rFonts w:eastAsia="仿宋_GB2312"/>
                <w:color w:val="000000"/>
                <w:sz w:val="30"/>
                <w:szCs w:val="30"/>
              </w:rPr>
            </w:pPr>
          </w:p>
        </w:tc>
        <w:tc>
          <w:tcPr>
            <w:tcW w:w="940" w:type="dxa"/>
            <w:noWrap w:val="0"/>
            <w:vAlign w:val="center"/>
          </w:tcPr>
          <w:p w14:paraId="0B8F3F79">
            <w:pPr>
              <w:jc w:val="center"/>
              <w:rPr>
                <w:rFonts w:eastAsia="仿宋_GB2312"/>
                <w:color w:val="000000"/>
                <w:sz w:val="30"/>
                <w:szCs w:val="30"/>
              </w:rPr>
            </w:pPr>
          </w:p>
        </w:tc>
        <w:tc>
          <w:tcPr>
            <w:tcW w:w="851" w:type="dxa"/>
            <w:noWrap w:val="0"/>
            <w:vAlign w:val="center"/>
          </w:tcPr>
          <w:p w14:paraId="5CC564AA">
            <w:pPr>
              <w:jc w:val="center"/>
              <w:rPr>
                <w:rFonts w:eastAsia="仿宋_GB2312"/>
                <w:color w:val="000000"/>
                <w:sz w:val="30"/>
                <w:szCs w:val="30"/>
              </w:rPr>
            </w:pPr>
          </w:p>
        </w:tc>
        <w:tc>
          <w:tcPr>
            <w:tcW w:w="1044" w:type="dxa"/>
            <w:noWrap w:val="0"/>
            <w:vAlign w:val="center"/>
          </w:tcPr>
          <w:p w14:paraId="607C1106">
            <w:pPr>
              <w:jc w:val="center"/>
              <w:rPr>
                <w:rFonts w:eastAsia="仿宋_GB2312"/>
                <w:color w:val="000000"/>
                <w:sz w:val="30"/>
                <w:szCs w:val="30"/>
              </w:rPr>
            </w:pPr>
          </w:p>
        </w:tc>
        <w:tc>
          <w:tcPr>
            <w:tcW w:w="992" w:type="dxa"/>
            <w:noWrap w:val="0"/>
            <w:vAlign w:val="center"/>
          </w:tcPr>
          <w:p w14:paraId="45337335">
            <w:pPr>
              <w:jc w:val="center"/>
              <w:rPr>
                <w:rFonts w:eastAsia="仿宋_GB2312"/>
                <w:color w:val="000000"/>
                <w:sz w:val="30"/>
                <w:szCs w:val="30"/>
              </w:rPr>
            </w:pPr>
          </w:p>
        </w:tc>
        <w:tc>
          <w:tcPr>
            <w:tcW w:w="851" w:type="dxa"/>
            <w:noWrap w:val="0"/>
            <w:vAlign w:val="center"/>
          </w:tcPr>
          <w:p w14:paraId="28E9BAB7">
            <w:pPr>
              <w:jc w:val="center"/>
              <w:rPr>
                <w:rFonts w:eastAsia="仿宋_GB2312"/>
                <w:color w:val="000000"/>
                <w:sz w:val="30"/>
                <w:szCs w:val="30"/>
              </w:rPr>
            </w:pPr>
          </w:p>
        </w:tc>
        <w:tc>
          <w:tcPr>
            <w:tcW w:w="1487" w:type="dxa"/>
            <w:noWrap w:val="0"/>
            <w:vAlign w:val="center"/>
          </w:tcPr>
          <w:p w14:paraId="2FAAAD0C">
            <w:pPr>
              <w:jc w:val="center"/>
              <w:rPr>
                <w:rFonts w:eastAsia="仿宋_GB2312"/>
                <w:color w:val="000000"/>
                <w:sz w:val="30"/>
                <w:szCs w:val="30"/>
              </w:rPr>
            </w:pPr>
          </w:p>
        </w:tc>
        <w:tc>
          <w:tcPr>
            <w:tcW w:w="992" w:type="dxa"/>
            <w:noWrap w:val="0"/>
            <w:vAlign w:val="center"/>
          </w:tcPr>
          <w:p w14:paraId="4E3DDA55">
            <w:pPr>
              <w:jc w:val="center"/>
              <w:rPr>
                <w:rFonts w:eastAsia="仿宋_GB2312"/>
                <w:color w:val="000000"/>
                <w:sz w:val="30"/>
                <w:szCs w:val="30"/>
              </w:rPr>
            </w:pPr>
          </w:p>
        </w:tc>
      </w:tr>
    </w:tbl>
    <w:p w14:paraId="03A2849B">
      <w:pPr>
        <w:spacing w:line="440" w:lineRule="exact"/>
        <w:rPr>
          <w:rFonts w:ascii="Times New Roman" w:hAnsi="Times New Roman" w:eastAsia="仿宋_GB2312"/>
          <w:color w:val="000000"/>
          <w:sz w:val="30"/>
          <w:szCs w:val="30"/>
        </w:rPr>
      </w:pPr>
    </w:p>
    <w:p w14:paraId="456E1DA2">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992" w:name="_Toc296944565"/>
      <w:bookmarkStart w:id="993" w:name="_Toc296891054"/>
      <w:bookmarkStart w:id="994" w:name="_Toc296346727"/>
      <w:bookmarkStart w:id="995" w:name="_Toc296891266"/>
      <w:bookmarkStart w:id="996" w:name="_Toc296347225"/>
      <w:bookmarkStart w:id="997" w:name="_Toc267261693"/>
      <w:bookmarkStart w:id="998" w:name="_Toc296503226"/>
      <w:r>
        <w:rPr>
          <w:rFonts w:ascii="Times New Roman" w:hAnsi="Times New Roman" w:eastAsia="仿宋_GB2312"/>
          <w:color w:val="000000"/>
          <w:sz w:val="30"/>
          <w:szCs w:val="30"/>
        </w:rPr>
        <w:t>件3：</w:t>
      </w:r>
      <w:bookmarkEnd w:id="992"/>
      <w:bookmarkEnd w:id="993"/>
      <w:bookmarkEnd w:id="994"/>
      <w:bookmarkEnd w:id="995"/>
      <w:bookmarkEnd w:id="996"/>
      <w:bookmarkEnd w:id="997"/>
      <w:bookmarkEnd w:id="998"/>
      <w:r>
        <w:rPr>
          <w:rFonts w:ascii="Times New Roman" w:hAnsi="Times New Roman" w:eastAsia="黑体"/>
          <w:color w:val="000000"/>
          <w:sz w:val="30"/>
          <w:szCs w:val="30"/>
        </w:rPr>
        <w:t xml:space="preserve">    </w:t>
      </w:r>
    </w:p>
    <w:p w14:paraId="32543A33">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工程质量保修书</w:t>
      </w:r>
    </w:p>
    <w:p w14:paraId="5C8DCE9D">
      <w:pPr>
        <w:spacing w:line="440" w:lineRule="exact"/>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发包人（全称）：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56481715">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rPr>
        <w:t>　　承包人（全称）：</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w:t>
      </w:r>
    </w:p>
    <w:p w14:paraId="7256FCE3">
      <w:pPr>
        <w:spacing w:line="440" w:lineRule="exact"/>
        <w:rPr>
          <w:rFonts w:ascii="Times New Roman" w:hAnsi="Times New Roman" w:eastAsia="仿宋_GB2312"/>
          <w:color w:val="000000"/>
          <w:sz w:val="30"/>
          <w:szCs w:val="30"/>
        </w:rPr>
      </w:pPr>
    </w:p>
    <w:p w14:paraId="05AD6E8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发包人和承包人根据《中华人民共和国建筑法》和《建设工程质量管理条例》，经协商一致就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（工程全称）签订工程质量保修书。</w:t>
      </w:r>
    </w:p>
    <w:p w14:paraId="272B7370">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一、工程质量保修范围和内容</w:t>
      </w:r>
    </w:p>
    <w:p w14:paraId="7D40113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承包人在质量保修期内，按照有关法律规定和合同约定，承担工程质量保修责任。</w:t>
      </w:r>
    </w:p>
    <w:p w14:paraId="6689E70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14:paraId="7F39445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322750C8">
      <w:pPr>
        <w:spacing w:line="360" w:lineRule="auto"/>
        <w:outlineLvl w:val="0"/>
        <w:rPr>
          <w:rFonts w:ascii="Times New Roman" w:hAnsi="Times New Roman" w:eastAsia="黑体"/>
          <w:color w:val="000000"/>
          <w:sz w:val="30"/>
          <w:szCs w:val="30"/>
        </w:rPr>
      </w:pPr>
      <w:r>
        <w:rPr>
          <w:rFonts w:ascii="Times New Roman" w:hAnsi="Times New Roman" w:eastAsia="仿宋_GB2312"/>
          <w:b/>
          <w:color w:val="000000"/>
          <w:sz w:val="30"/>
          <w:szCs w:val="30"/>
        </w:rPr>
        <w:t>　　</w:t>
      </w:r>
      <w:r>
        <w:rPr>
          <w:rFonts w:ascii="Times New Roman" w:hAnsi="Times New Roman" w:eastAsia="黑体"/>
          <w:color w:val="000000"/>
          <w:sz w:val="30"/>
          <w:szCs w:val="30"/>
        </w:rPr>
        <w:t>二、质量保修期</w:t>
      </w:r>
    </w:p>
    <w:p w14:paraId="4C07515C">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根据《建设工程质量管理条例》及有关规定，工程的质量保修期如下：</w:t>
      </w:r>
    </w:p>
    <w:p w14:paraId="1F372122">
      <w:pPr>
        <w:ind w:firstLine="600" w:firstLineChars="200"/>
        <w:rPr>
          <w:rFonts w:hint="eastAsia" w:ascii="仿宋_GB2312" w:eastAsia="仿宋_GB2312"/>
          <w:sz w:val="30"/>
          <w:szCs w:val="30"/>
        </w:rPr>
      </w:pPr>
      <w:r>
        <w:rPr>
          <w:rFonts w:hint="eastAsia" w:ascii="仿宋_GB2312" w:eastAsia="仿宋_GB2312"/>
          <w:sz w:val="30"/>
          <w:szCs w:val="30"/>
        </w:rPr>
        <w:t>1</w:t>
      </w:r>
      <w:r>
        <w:rPr>
          <w:rFonts w:hint="eastAsia" w:ascii="Times New Roman" w:hAnsi="Times New Roman" w:eastAsia="仿宋_GB2312"/>
          <w:color w:val="000000"/>
          <w:sz w:val="30"/>
          <w:szCs w:val="30"/>
        </w:rPr>
        <w:t>．</w:t>
      </w:r>
      <w:r>
        <w:rPr>
          <w:rFonts w:hint="eastAsia" w:ascii="仿宋_GB2312" w:eastAsia="仿宋_GB2312"/>
          <w:sz w:val="30"/>
          <w:szCs w:val="30"/>
        </w:rPr>
        <w:t>地基基础工程和主体结构工程为设计文件规定的工程合理使用年限；</w:t>
      </w:r>
    </w:p>
    <w:p w14:paraId="77B6FDD4">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屋面防水工程、有防水要求的卫生间、房间和外墙面的防渗</w:t>
      </w:r>
      <w:r>
        <w:rPr>
          <w:rFonts w:hint="eastAsia" w:ascii="Times New Roman" w:hAnsi="Times New Roman" w:eastAsia="仿宋_GB2312"/>
          <w:color w:val="000000"/>
          <w:sz w:val="30"/>
          <w:szCs w:val="30"/>
        </w:rPr>
        <w:t xml:space="preserve">     为</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6C63D8A9">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装修工程为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71076242">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电气管线、给排水管道、设备安装工程为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9A29F1F">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5</w:t>
      </w:r>
      <w:r>
        <w:rPr>
          <w:rFonts w:hint="eastAsia" w:ascii="仿宋_GB2312" w:eastAsia="仿宋_GB2312"/>
          <w:sz w:val="30"/>
          <w:szCs w:val="30"/>
        </w:rPr>
        <w:t>．</w:t>
      </w:r>
      <w:r>
        <w:rPr>
          <w:rFonts w:ascii="Times New Roman" w:hAnsi="Times New Roman" w:eastAsia="仿宋_GB2312"/>
          <w:color w:val="000000"/>
          <w:sz w:val="30"/>
          <w:szCs w:val="30"/>
        </w:rPr>
        <w:t>供热与供冷系统为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个采暖期、供冷期；</w:t>
      </w:r>
    </w:p>
    <w:p w14:paraId="11603BD2">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6</w:t>
      </w:r>
      <w:r>
        <w:rPr>
          <w:rFonts w:hint="eastAsia" w:ascii="仿宋_GB2312" w:eastAsia="仿宋_GB2312"/>
          <w:sz w:val="30"/>
          <w:szCs w:val="30"/>
        </w:rPr>
        <w:t>．</w:t>
      </w:r>
      <w:r>
        <w:rPr>
          <w:rFonts w:ascii="Times New Roman" w:hAnsi="Times New Roman" w:eastAsia="仿宋_GB2312"/>
          <w:color w:val="000000"/>
          <w:sz w:val="30"/>
          <w:szCs w:val="30"/>
        </w:rPr>
        <w:t>住宅小区内的给排水设施、道路等配套工程为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p>
    <w:p w14:paraId="5E261B31">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7</w:t>
      </w:r>
      <w:r>
        <w:rPr>
          <w:rFonts w:hint="eastAsia" w:ascii="仿宋_GB2312" w:eastAsia="仿宋_GB2312"/>
          <w:sz w:val="30"/>
          <w:szCs w:val="30"/>
        </w:rPr>
        <w:t>．</w:t>
      </w:r>
      <w:r>
        <w:rPr>
          <w:rFonts w:ascii="Times New Roman" w:hAnsi="Times New Roman" w:eastAsia="仿宋_GB2312"/>
          <w:color w:val="000000"/>
          <w:sz w:val="30"/>
          <w:szCs w:val="30"/>
        </w:rPr>
        <w:t>其他项目保修期限约定如下：</w:t>
      </w:r>
    </w:p>
    <w:p w14:paraId="52CF496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75D9D13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质量保修期自工程竣工验收合格之日起计算。</w:t>
      </w:r>
    </w:p>
    <w:p w14:paraId="6A53605E">
      <w:pPr>
        <w:spacing w:line="360" w:lineRule="auto"/>
        <w:ind w:firstLine="600" w:firstLineChars="200"/>
        <w:outlineLvl w:val="0"/>
        <w:rPr>
          <w:rFonts w:ascii="Times New Roman" w:hAnsi="Times New Roman" w:eastAsia="黑体"/>
          <w:color w:val="000000"/>
          <w:sz w:val="30"/>
          <w:szCs w:val="30"/>
        </w:rPr>
      </w:pPr>
      <w:r>
        <w:rPr>
          <w:rFonts w:ascii="Times New Roman" w:hAnsi="Times New Roman" w:eastAsia="黑体"/>
          <w:color w:val="000000"/>
          <w:sz w:val="30"/>
          <w:szCs w:val="30"/>
        </w:rPr>
        <w:t>三、缺陷责任期</w:t>
      </w:r>
    </w:p>
    <w:p w14:paraId="421DBEB7">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工程缺陷责任期为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个月，缺陷责任期自工程</w:t>
      </w:r>
      <w:r>
        <w:rPr>
          <w:rFonts w:hint="eastAsia" w:ascii="Times New Roman" w:hAnsi="Times New Roman" w:eastAsia="仿宋_GB2312"/>
          <w:color w:val="000000"/>
          <w:sz w:val="30"/>
          <w:szCs w:val="30"/>
        </w:rPr>
        <w:t>通过竣工验收</w:t>
      </w:r>
      <w:r>
        <w:rPr>
          <w:rFonts w:ascii="Times New Roman" w:hAnsi="Times New Roman" w:eastAsia="仿宋_GB2312"/>
          <w:color w:val="000000"/>
          <w:sz w:val="30"/>
          <w:szCs w:val="30"/>
        </w:rPr>
        <w:t>之日起计算。单位工程先于全部工程进行验收，单位工程缺陷责任期自单位工程验收合格之日起算。</w:t>
      </w:r>
    </w:p>
    <w:p w14:paraId="354F8BBF">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缺陷责任期终止后，发包人应退还剩余的质量保证金。</w:t>
      </w:r>
    </w:p>
    <w:p w14:paraId="0DB17BDE">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xml:space="preserve">    四、质量保修责任</w:t>
      </w:r>
    </w:p>
    <w:p w14:paraId="162933E9">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1</w:t>
      </w:r>
      <w:r>
        <w:rPr>
          <w:rFonts w:hint="eastAsia" w:ascii="仿宋_GB2312" w:eastAsia="仿宋_GB2312"/>
          <w:sz w:val="30"/>
          <w:szCs w:val="30"/>
        </w:rPr>
        <w:t>．</w:t>
      </w:r>
      <w:r>
        <w:rPr>
          <w:rFonts w:ascii="Times New Roman" w:hAnsi="Times New Roman" w:eastAsia="仿宋_GB2312"/>
          <w:color w:val="000000"/>
          <w:sz w:val="30"/>
          <w:szCs w:val="30"/>
        </w:rPr>
        <w:t>属于保修范围、内容的项目，承包人应当在接到保修通知之日起7天内派人保修。承包人不在约定期限内派人保修的，发包人可以委托他人修理。</w:t>
      </w:r>
    </w:p>
    <w:p w14:paraId="3EF3FF0B">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2</w:t>
      </w:r>
      <w:r>
        <w:rPr>
          <w:rFonts w:hint="eastAsia" w:ascii="仿宋_GB2312" w:eastAsia="仿宋_GB2312"/>
          <w:sz w:val="30"/>
          <w:szCs w:val="30"/>
        </w:rPr>
        <w:t>．</w:t>
      </w:r>
      <w:r>
        <w:rPr>
          <w:rFonts w:ascii="Times New Roman" w:hAnsi="Times New Roman" w:eastAsia="仿宋_GB2312"/>
          <w:color w:val="000000"/>
          <w:sz w:val="30"/>
          <w:szCs w:val="30"/>
        </w:rPr>
        <w:t>发生紧急事故需抢修的，承包人在接到事故通知后，应当立即到达事故现场抢修。</w:t>
      </w:r>
    </w:p>
    <w:p w14:paraId="0CC7544C">
      <w:pPr>
        <w:spacing w:line="360" w:lineRule="auto"/>
        <w:ind w:left="105" w:leftChars="50" w:firstLine="615" w:firstLineChars="205"/>
        <w:rPr>
          <w:rFonts w:ascii="Times New Roman" w:hAnsi="Times New Roman" w:eastAsia="仿宋_GB2312"/>
          <w:color w:val="000000"/>
          <w:sz w:val="30"/>
          <w:szCs w:val="30"/>
        </w:rPr>
      </w:pPr>
      <w:r>
        <w:rPr>
          <w:rFonts w:hint="eastAsia" w:ascii="Times New Roman" w:hAnsi="Times New Roman" w:eastAsia="仿宋_GB2312"/>
          <w:color w:val="000000"/>
          <w:sz w:val="30"/>
          <w:szCs w:val="30"/>
        </w:rPr>
        <w:t>3</w:t>
      </w:r>
      <w:r>
        <w:rPr>
          <w:rFonts w:hint="eastAsia" w:ascii="仿宋_GB2312" w:eastAsia="仿宋_GB2312"/>
          <w:sz w:val="30"/>
          <w:szCs w:val="30"/>
        </w:rPr>
        <w:t>．</w:t>
      </w:r>
      <w:r>
        <w:rPr>
          <w:rFonts w:ascii="Times New Roman" w:hAnsi="Times New Roman" w:eastAsia="仿宋_GB2312"/>
          <w:color w:val="000000"/>
          <w:sz w:val="30"/>
          <w:szCs w:val="30"/>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14:paraId="6230EDD5">
      <w:pPr>
        <w:spacing w:line="360" w:lineRule="auto"/>
        <w:ind w:left="420" w:leftChars="200" w:firstLine="150" w:firstLineChars="5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4</w:t>
      </w:r>
      <w:r>
        <w:rPr>
          <w:rFonts w:hint="eastAsia" w:ascii="仿宋_GB2312" w:eastAsia="仿宋_GB2312"/>
          <w:sz w:val="30"/>
          <w:szCs w:val="30"/>
        </w:rPr>
        <w:t>．</w:t>
      </w:r>
      <w:r>
        <w:rPr>
          <w:rFonts w:ascii="Times New Roman" w:hAnsi="Times New Roman" w:eastAsia="仿宋_GB2312"/>
          <w:color w:val="000000"/>
          <w:sz w:val="30"/>
          <w:szCs w:val="30"/>
        </w:rPr>
        <w:t>质量保修完成后，由发包人组织验收。</w:t>
      </w:r>
    </w:p>
    <w:p w14:paraId="58E96431">
      <w:pPr>
        <w:spacing w:line="360" w:lineRule="auto"/>
        <w:outlineLvl w:val="0"/>
        <w:rPr>
          <w:rFonts w:ascii="Times New Roman" w:hAnsi="Times New Roman" w:eastAsia="黑体"/>
          <w:color w:val="000000"/>
          <w:sz w:val="30"/>
          <w:szCs w:val="30"/>
        </w:rPr>
      </w:pPr>
      <w:r>
        <w:rPr>
          <w:rFonts w:ascii="Times New Roman" w:hAnsi="Times New Roman" w:eastAsia="黑体"/>
          <w:color w:val="000000"/>
          <w:sz w:val="30"/>
          <w:szCs w:val="30"/>
        </w:rPr>
        <w:t>　　五、保修费用</w:t>
      </w:r>
    </w:p>
    <w:p w14:paraId="5505A9C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保修费用由造成质量缺陷的责任方承担。</w:t>
      </w:r>
    </w:p>
    <w:p w14:paraId="515F190C">
      <w:pPr>
        <w:spacing w:line="360" w:lineRule="auto"/>
        <w:ind w:firstLine="600"/>
        <w:jc w:val="left"/>
        <w:outlineLvl w:val="0"/>
        <w:rPr>
          <w:rFonts w:ascii="Times New Roman" w:hAnsi="Times New Roman" w:eastAsia="仿宋_GB2312"/>
          <w:color w:val="000000"/>
          <w:sz w:val="30"/>
          <w:szCs w:val="30"/>
          <w:u w:val="single"/>
        </w:rPr>
      </w:pPr>
      <w:r>
        <w:rPr>
          <w:rFonts w:ascii="Times New Roman" w:hAnsi="Times New Roman" w:eastAsia="黑体"/>
          <w:b/>
          <w:color w:val="000000"/>
          <w:sz w:val="30"/>
          <w:szCs w:val="30"/>
        </w:rPr>
        <w:t>六</w:t>
      </w:r>
      <w:r>
        <w:rPr>
          <w:rFonts w:ascii="Times New Roman" w:hAnsi="Times New Roman" w:eastAsia="黑体"/>
          <w:color w:val="000000"/>
          <w:sz w:val="30"/>
          <w:szCs w:val="30"/>
        </w:rPr>
        <w:t>、双方约定的其他工程质量保修事项</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B70D357">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2B6260A2">
      <w:pPr>
        <w:spacing w:line="360" w:lineRule="auto"/>
        <w:ind w:firstLine="570" w:firstLineChars="190"/>
        <w:rPr>
          <w:rFonts w:ascii="Times New Roman" w:hAnsi="Times New Roman" w:eastAsia="仿宋_GB2312"/>
          <w:color w:val="000000"/>
          <w:sz w:val="30"/>
          <w:szCs w:val="30"/>
        </w:rPr>
      </w:pPr>
      <w:r>
        <w:rPr>
          <w:rFonts w:ascii="Times New Roman" w:hAnsi="Times New Roman" w:eastAsia="仿宋_GB2312"/>
          <w:color w:val="000000"/>
          <w:sz w:val="30"/>
          <w:szCs w:val="30"/>
        </w:rPr>
        <w:t>工程质量保修书由发包人、承包人在工程竣工验收前共同签署，作为施工合同附件，其有效期限至保修期满。</w:t>
      </w:r>
    </w:p>
    <w:p w14:paraId="062E5B29">
      <w:pPr>
        <w:spacing w:line="360" w:lineRule="auto"/>
        <w:ind w:firstLine="420"/>
        <w:rPr>
          <w:rFonts w:ascii="Times New Roman" w:hAnsi="Times New Roman" w:eastAsia="仿宋_GB2312"/>
          <w:color w:val="000000"/>
          <w:sz w:val="30"/>
          <w:szCs w:val="30"/>
        </w:rPr>
      </w:pPr>
    </w:p>
    <w:p w14:paraId="7C887A2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发包人(公章)：</w:t>
      </w:r>
      <w:r>
        <w:rPr>
          <w:rFonts w:ascii="Times New Roman" w:hAnsi="Times New Roman" w:eastAsia="仿宋_GB2312"/>
          <w:color w:val="000000"/>
          <w:sz w:val="30"/>
          <w:szCs w:val="30"/>
          <w:u w:val="single"/>
        </w:rPr>
        <w:t xml:space="preserve">        </w:t>
      </w:r>
      <w:r>
        <w:rPr>
          <w:rFonts w:ascii="Times New Roman" w:hAnsi="Times New Roman" w:eastAsia="仿宋_GB2312"/>
          <w:color w:val="000000"/>
          <w:sz w:val="30"/>
          <w:szCs w:val="30"/>
        </w:rPr>
        <w:t xml:space="preserve"> 承包人(公章)：</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6C4DF24">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3010FF0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法定代表人(签字)：</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9ECD67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委托代理人(签字)：</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委托代理人(签字)：</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E0066AC">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电  话：</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7B89E0F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传  真：</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CE5FC3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开户银行：</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开户银行：</w:t>
      </w:r>
      <w:r>
        <w:rPr>
          <w:rFonts w:ascii="Times New Roman" w:hAnsi="Times New Roman" w:eastAsia="仿宋_GB2312"/>
          <w:color w:val="000000"/>
          <w:sz w:val="30"/>
          <w:szCs w:val="30"/>
          <w:u w:val="single"/>
        </w:rPr>
        <w:t xml:space="preserve">   </w:t>
      </w:r>
    </w:p>
    <w:p w14:paraId="044F5840">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账  号：</w:t>
      </w:r>
      <w:r>
        <w:rPr>
          <w:rFonts w:ascii="Times New Roman" w:hAnsi="Times New Roman" w:eastAsia="仿宋_GB2312"/>
          <w:color w:val="000000"/>
          <w:sz w:val="30"/>
          <w:szCs w:val="30"/>
          <w:u w:val="single"/>
        </w:rPr>
        <w:t xml:space="preserve"> 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账</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rPr>
        <w:t xml:space="preserve"> 号：</w:t>
      </w:r>
      <w:r>
        <w:rPr>
          <w:rFonts w:ascii="Times New Roman" w:hAnsi="Times New Roman" w:eastAsia="仿宋_GB2312"/>
          <w:color w:val="000000"/>
          <w:sz w:val="30"/>
          <w:szCs w:val="30"/>
          <w:u w:val="single"/>
        </w:rPr>
        <w:t></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p>
    <w:p w14:paraId="219C116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    </w:t>
      </w:r>
      <w:r>
        <w:rPr>
          <w:rFonts w:ascii="Times New Roman" w:hAnsi="Times New Roman" w:eastAsia="仿宋_GB2312"/>
          <w:color w:val="000000"/>
          <w:sz w:val="30"/>
          <w:szCs w:val="30"/>
        </w:rPr>
        <w:t xml:space="preserve"> 邮政编码：</w:t>
      </w:r>
      <w:r>
        <w:rPr>
          <w:rFonts w:ascii="Times New Roman" w:hAnsi="Times New Roman" w:eastAsia="仿宋_GB2312"/>
          <w:color w:val="000000"/>
          <w:sz w:val="30"/>
          <w:szCs w:val="30"/>
          <w:u w:val="single"/>
        </w:rPr>
        <w:t xml:space="preserve">   </w:t>
      </w:r>
    </w:p>
    <w:p w14:paraId="1BAB066A">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附件4：</w:t>
      </w:r>
    </w:p>
    <w:p w14:paraId="16FEE76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主要建设工程文件目录</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953"/>
        <w:gridCol w:w="1276"/>
        <w:gridCol w:w="1450"/>
        <w:gridCol w:w="1243"/>
        <w:gridCol w:w="1450"/>
        <w:gridCol w:w="1667"/>
      </w:tblGrid>
      <w:tr w14:paraId="660527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953" w:type="dxa"/>
            <w:tcBorders>
              <w:top w:val="single" w:color="auto" w:sz="12" w:space="0"/>
              <w:bottom w:val="double" w:color="auto" w:sz="6" w:space="0"/>
            </w:tcBorders>
            <w:noWrap w:val="0"/>
            <w:vAlign w:val="center"/>
          </w:tcPr>
          <w:p w14:paraId="646EDC0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文件名称</w:t>
            </w:r>
          </w:p>
        </w:tc>
        <w:tc>
          <w:tcPr>
            <w:tcW w:w="1276" w:type="dxa"/>
            <w:tcBorders>
              <w:top w:val="single" w:color="auto" w:sz="12" w:space="0"/>
              <w:bottom w:val="double" w:color="auto" w:sz="6" w:space="0"/>
            </w:tcBorders>
            <w:noWrap w:val="0"/>
            <w:vAlign w:val="center"/>
          </w:tcPr>
          <w:p w14:paraId="4DCC1A3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套数</w:t>
            </w:r>
          </w:p>
        </w:tc>
        <w:tc>
          <w:tcPr>
            <w:tcW w:w="1450" w:type="dxa"/>
            <w:tcBorders>
              <w:top w:val="single" w:color="auto" w:sz="12" w:space="0"/>
              <w:bottom w:val="double" w:color="auto" w:sz="6" w:space="0"/>
            </w:tcBorders>
            <w:noWrap w:val="0"/>
            <w:vAlign w:val="center"/>
          </w:tcPr>
          <w:p w14:paraId="1FFDD9E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费用</w:t>
            </w:r>
            <w:r>
              <w:rPr>
                <w:rFonts w:hint="eastAsia" w:eastAsia="仿宋_GB2312"/>
                <w:color w:val="000000"/>
                <w:kern w:val="2"/>
                <w:sz w:val="28"/>
                <w:szCs w:val="30"/>
                <w:lang w:val="en-US" w:eastAsia="zh-CN"/>
              </w:rPr>
              <w:t>（元）</w:t>
            </w:r>
          </w:p>
        </w:tc>
        <w:tc>
          <w:tcPr>
            <w:tcW w:w="1243" w:type="dxa"/>
            <w:tcBorders>
              <w:top w:val="single" w:color="auto" w:sz="12" w:space="0"/>
              <w:bottom w:val="double" w:color="auto" w:sz="6" w:space="0"/>
            </w:tcBorders>
            <w:noWrap w:val="0"/>
            <w:vAlign w:val="center"/>
          </w:tcPr>
          <w:p w14:paraId="75CA021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w:t>
            </w:r>
          </w:p>
        </w:tc>
        <w:tc>
          <w:tcPr>
            <w:tcW w:w="1450" w:type="dxa"/>
            <w:tcBorders>
              <w:top w:val="single" w:color="auto" w:sz="12" w:space="0"/>
              <w:bottom w:val="double" w:color="auto" w:sz="6" w:space="0"/>
            </w:tcBorders>
            <w:noWrap w:val="0"/>
            <w:vAlign w:val="top"/>
          </w:tcPr>
          <w:p w14:paraId="759DEB2A">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移交时间</w:t>
            </w:r>
          </w:p>
        </w:tc>
        <w:tc>
          <w:tcPr>
            <w:tcW w:w="1667" w:type="dxa"/>
            <w:tcBorders>
              <w:top w:val="single" w:color="auto" w:sz="12" w:space="0"/>
              <w:bottom w:val="double" w:color="auto" w:sz="6" w:space="0"/>
            </w:tcBorders>
            <w:noWrap w:val="0"/>
            <w:vAlign w:val="top"/>
          </w:tcPr>
          <w:p w14:paraId="294D391F">
            <w:pPr>
              <w:spacing w:line="440" w:lineRule="exact"/>
              <w:jc w:val="center"/>
              <w:rPr>
                <w:rFonts w:ascii="Times New Roman" w:hAnsi="Times New Roman" w:eastAsia="仿宋_GB2312"/>
                <w:color w:val="000000"/>
                <w:sz w:val="28"/>
                <w:szCs w:val="30"/>
              </w:rPr>
            </w:pPr>
            <w:r>
              <w:rPr>
                <w:rFonts w:ascii="Times New Roman" w:hAnsi="Times New Roman" w:eastAsia="仿宋_GB2312"/>
                <w:color w:val="000000"/>
                <w:sz w:val="28"/>
                <w:szCs w:val="30"/>
              </w:rPr>
              <w:t>责任人</w:t>
            </w:r>
          </w:p>
        </w:tc>
      </w:tr>
      <w:tr w14:paraId="1892A5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double" w:color="auto" w:sz="6" w:space="0"/>
              <w:bottom w:val="single" w:color="auto" w:sz="6" w:space="0"/>
            </w:tcBorders>
            <w:noWrap w:val="0"/>
            <w:vAlign w:val="center"/>
          </w:tcPr>
          <w:p w14:paraId="69046A25">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double" w:color="auto" w:sz="6" w:space="0"/>
              <w:bottom w:val="single" w:color="auto" w:sz="6" w:space="0"/>
            </w:tcBorders>
            <w:noWrap w:val="0"/>
            <w:vAlign w:val="center"/>
          </w:tcPr>
          <w:p w14:paraId="5D33D7A8">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21FAEC18">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double" w:color="auto" w:sz="6" w:space="0"/>
              <w:bottom w:val="single" w:color="auto" w:sz="6" w:space="0"/>
            </w:tcBorders>
            <w:noWrap w:val="0"/>
            <w:vAlign w:val="center"/>
          </w:tcPr>
          <w:p w14:paraId="0B86BB64">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double" w:color="auto" w:sz="6" w:space="0"/>
              <w:bottom w:val="single" w:color="auto" w:sz="6" w:space="0"/>
            </w:tcBorders>
            <w:noWrap w:val="0"/>
            <w:vAlign w:val="center"/>
          </w:tcPr>
          <w:p w14:paraId="29AC386A">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double" w:color="auto" w:sz="6" w:space="0"/>
              <w:bottom w:val="single" w:color="auto" w:sz="6" w:space="0"/>
            </w:tcBorders>
            <w:noWrap w:val="0"/>
            <w:vAlign w:val="center"/>
          </w:tcPr>
          <w:p w14:paraId="1EEA035F">
            <w:pPr>
              <w:pStyle w:val="16"/>
              <w:keepNext/>
              <w:spacing w:after="0" w:line="440" w:lineRule="exact"/>
              <w:ind w:left="63" w:right="63"/>
              <w:rPr>
                <w:rFonts w:eastAsia="仿宋_GB2312"/>
                <w:color w:val="000000"/>
                <w:kern w:val="2"/>
                <w:sz w:val="30"/>
                <w:szCs w:val="30"/>
                <w:lang w:val="en-US" w:eastAsia="zh-CN"/>
              </w:rPr>
            </w:pPr>
          </w:p>
        </w:tc>
      </w:tr>
      <w:tr w14:paraId="493E9E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tcBorders>
              <w:top w:val="nil"/>
            </w:tcBorders>
            <w:noWrap w:val="0"/>
            <w:vAlign w:val="center"/>
          </w:tcPr>
          <w:p w14:paraId="693305CC">
            <w:pPr>
              <w:pStyle w:val="16"/>
              <w:keepNext/>
              <w:spacing w:after="0" w:line="440" w:lineRule="exact"/>
              <w:ind w:left="63" w:right="63"/>
              <w:rPr>
                <w:rFonts w:eastAsia="仿宋_GB2312"/>
                <w:color w:val="000000"/>
                <w:kern w:val="2"/>
                <w:sz w:val="30"/>
                <w:szCs w:val="30"/>
                <w:lang w:val="en-US" w:eastAsia="zh-CN"/>
              </w:rPr>
            </w:pPr>
          </w:p>
        </w:tc>
        <w:tc>
          <w:tcPr>
            <w:tcW w:w="1276" w:type="dxa"/>
            <w:tcBorders>
              <w:top w:val="nil"/>
            </w:tcBorders>
            <w:noWrap w:val="0"/>
            <w:vAlign w:val="center"/>
          </w:tcPr>
          <w:p w14:paraId="16944237">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4718E75C">
            <w:pPr>
              <w:pStyle w:val="16"/>
              <w:keepNext/>
              <w:spacing w:after="0" w:line="440" w:lineRule="exact"/>
              <w:ind w:left="63" w:right="63"/>
              <w:rPr>
                <w:rFonts w:eastAsia="仿宋_GB2312"/>
                <w:color w:val="000000"/>
                <w:kern w:val="2"/>
                <w:sz w:val="30"/>
                <w:szCs w:val="30"/>
                <w:lang w:val="en-US" w:eastAsia="zh-CN"/>
              </w:rPr>
            </w:pPr>
          </w:p>
        </w:tc>
        <w:tc>
          <w:tcPr>
            <w:tcW w:w="1243" w:type="dxa"/>
            <w:tcBorders>
              <w:top w:val="nil"/>
            </w:tcBorders>
            <w:noWrap w:val="0"/>
            <w:vAlign w:val="center"/>
          </w:tcPr>
          <w:p w14:paraId="7B825F2B">
            <w:pPr>
              <w:pStyle w:val="16"/>
              <w:keepNext/>
              <w:spacing w:after="0" w:line="440" w:lineRule="exact"/>
              <w:ind w:left="63" w:right="63"/>
              <w:rPr>
                <w:rFonts w:eastAsia="仿宋_GB2312"/>
                <w:color w:val="000000"/>
                <w:kern w:val="2"/>
                <w:sz w:val="30"/>
                <w:szCs w:val="30"/>
                <w:lang w:val="en-US" w:eastAsia="zh-CN"/>
              </w:rPr>
            </w:pPr>
          </w:p>
        </w:tc>
        <w:tc>
          <w:tcPr>
            <w:tcW w:w="1450" w:type="dxa"/>
            <w:tcBorders>
              <w:top w:val="nil"/>
            </w:tcBorders>
            <w:noWrap w:val="0"/>
            <w:vAlign w:val="center"/>
          </w:tcPr>
          <w:p w14:paraId="696DC2D1">
            <w:pPr>
              <w:pStyle w:val="16"/>
              <w:keepNext/>
              <w:spacing w:after="0" w:line="440" w:lineRule="exact"/>
              <w:ind w:left="63" w:right="63"/>
              <w:rPr>
                <w:rFonts w:eastAsia="仿宋_GB2312"/>
                <w:color w:val="000000"/>
                <w:kern w:val="2"/>
                <w:sz w:val="30"/>
                <w:szCs w:val="30"/>
                <w:lang w:val="en-US" w:eastAsia="zh-CN"/>
              </w:rPr>
            </w:pPr>
          </w:p>
        </w:tc>
        <w:tc>
          <w:tcPr>
            <w:tcW w:w="1667" w:type="dxa"/>
            <w:tcBorders>
              <w:top w:val="nil"/>
            </w:tcBorders>
            <w:noWrap w:val="0"/>
            <w:vAlign w:val="center"/>
          </w:tcPr>
          <w:p w14:paraId="6D1DC6E8">
            <w:pPr>
              <w:pStyle w:val="16"/>
              <w:keepNext/>
              <w:spacing w:after="0" w:line="440" w:lineRule="exact"/>
              <w:ind w:left="63" w:right="63"/>
              <w:rPr>
                <w:rFonts w:eastAsia="仿宋_GB2312"/>
                <w:color w:val="000000"/>
                <w:kern w:val="2"/>
                <w:sz w:val="30"/>
                <w:szCs w:val="30"/>
                <w:lang w:val="en-US" w:eastAsia="zh-CN"/>
              </w:rPr>
            </w:pPr>
          </w:p>
        </w:tc>
      </w:tr>
      <w:tr w14:paraId="7C7D984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4385FBD1">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76350713">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3DADDFE">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2ED199A9">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2C08028A">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3331E1B0">
            <w:pPr>
              <w:pStyle w:val="16"/>
              <w:keepNext/>
              <w:spacing w:after="0" w:line="440" w:lineRule="exact"/>
              <w:ind w:left="63" w:right="63"/>
              <w:rPr>
                <w:rFonts w:eastAsia="仿宋_GB2312"/>
                <w:color w:val="000000"/>
                <w:kern w:val="2"/>
                <w:sz w:val="30"/>
                <w:szCs w:val="30"/>
                <w:lang w:val="en-US" w:eastAsia="zh-CN"/>
              </w:rPr>
            </w:pPr>
          </w:p>
        </w:tc>
      </w:tr>
      <w:tr w14:paraId="4017DE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7C84666E">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6068AF4">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F08665F">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34A500BE">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E8509F0">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0648DE12">
            <w:pPr>
              <w:pStyle w:val="16"/>
              <w:keepNext/>
              <w:spacing w:after="0" w:line="440" w:lineRule="exact"/>
              <w:ind w:left="63" w:right="63"/>
              <w:rPr>
                <w:rFonts w:eastAsia="仿宋_GB2312"/>
                <w:color w:val="000000"/>
                <w:kern w:val="2"/>
                <w:sz w:val="30"/>
                <w:szCs w:val="30"/>
                <w:lang w:val="en-US" w:eastAsia="zh-CN"/>
              </w:rPr>
            </w:pPr>
          </w:p>
        </w:tc>
      </w:tr>
      <w:tr w14:paraId="6ADF8EB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5F5D19B0">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34636FFF">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BE64699">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024E7572">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0DEA804">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3AE78BF7">
            <w:pPr>
              <w:pStyle w:val="16"/>
              <w:keepNext/>
              <w:spacing w:after="0" w:line="440" w:lineRule="exact"/>
              <w:ind w:left="63" w:right="63"/>
              <w:rPr>
                <w:rFonts w:eastAsia="仿宋_GB2312"/>
                <w:color w:val="000000"/>
                <w:kern w:val="2"/>
                <w:sz w:val="30"/>
                <w:szCs w:val="30"/>
                <w:lang w:val="en-US" w:eastAsia="zh-CN"/>
              </w:rPr>
            </w:pPr>
          </w:p>
        </w:tc>
      </w:tr>
      <w:tr w14:paraId="331F03D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4E1D1605">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460A407B">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0AA20D32">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7D6E7B5">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3BD4F21">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7DB0F8BE">
            <w:pPr>
              <w:pStyle w:val="16"/>
              <w:keepNext/>
              <w:spacing w:after="0" w:line="440" w:lineRule="exact"/>
              <w:ind w:left="63" w:right="63"/>
              <w:rPr>
                <w:rFonts w:eastAsia="仿宋_GB2312"/>
                <w:color w:val="000000"/>
                <w:kern w:val="2"/>
                <w:sz w:val="30"/>
                <w:szCs w:val="30"/>
                <w:lang w:val="en-US" w:eastAsia="zh-CN"/>
              </w:rPr>
            </w:pPr>
          </w:p>
        </w:tc>
      </w:tr>
      <w:tr w14:paraId="2E6ECE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33249D47">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CD8E9F2">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52AAE6E9">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638E32BE">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EFBF630">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2AA67A60">
            <w:pPr>
              <w:pStyle w:val="16"/>
              <w:keepNext/>
              <w:spacing w:after="0" w:line="440" w:lineRule="exact"/>
              <w:ind w:left="63" w:right="63"/>
              <w:rPr>
                <w:rFonts w:eastAsia="仿宋_GB2312"/>
                <w:color w:val="000000"/>
                <w:kern w:val="2"/>
                <w:sz w:val="30"/>
                <w:szCs w:val="30"/>
                <w:lang w:val="en-US" w:eastAsia="zh-CN"/>
              </w:rPr>
            </w:pPr>
          </w:p>
        </w:tc>
      </w:tr>
      <w:tr w14:paraId="13DEB2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0DE4DB6D">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1079313F">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3631C1EA">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126F055C">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75746740">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6E41C625">
            <w:pPr>
              <w:pStyle w:val="16"/>
              <w:keepNext/>
              <w:spacing w:after="0" w:line="440" w:lineRule="exact"/>
              <w:ind w:left="63" w:right="63"/>
              <w:rPr>
                <w:rFonts w:eastAsia="仿宋_GB2312"/>
                <w:color w:val="000000"/>
                <w:kern w:val="2"/>
                <w:sz w:val="30"/>
                <w:szCs w:val="30"/>
                <w:lang w:val="en-US" w:eastAsia="zh-CN"/>
              </w:rPr>
            </w:pPr>
          </w:p>
        </w:tc>
      </w:tr>
      <w:tr w14:paraId="400A0B4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6C94E2C3">
            <w:pPr>
              <w:rPr>
                <w:rFonts w:eastAsia="仿宋_GB2312"/>
                <w:color w:val="000000"/>
                <w:sz w:val="30"/>
                <w:szCs w:val="30"/>
              </w:rPr>
            </w:pPr>
          </w:p>
        </w:tc>
        <w:tc>
          <w:tcPr>
            <w:tcW w:w="1276" w:type="dxa"/>
            <w:noWrap w:val="0"/>
            <w:vAlign w:val="top"/>
          </w:tcPr>
          <w:p w14:paraId="3FF95A22">
            <w:pPr>
              <w:rPr>
                <w:rFonts w:eastAsia="仿宋_GB2312"/>
                <w:color w:val="000000"/>
                <w:sz w:val="30"/>
                <w:szCs w:val="30"/>
              </w:rPr>
            </w:pPr>
          </w:p>
        </w:tc>
        <w:tc>
          <w:tcPr>
            <w:tcW w:w="1450" w:type="dxa"/>
            <w:noWrap w:val="0"/>
            <w:vAlign w:val="top"/>
          </w:tcPr>
          <w:p w14:paraId="7B23CDAE">
            <w:pPr>
              <w:rPr>
                <w:rFonts w:eastAsia="仿宋_GB2312"/>
                <w:color w:val="000000"/>
                <w:sz w:val="30"/>
                <w:szCs w:val="30"/>
              </w:rPr>
            </w:pPr>
          </w:p>
        </w:tc>
        <w:tc>
          <w:tcPr>
            <w:tcW w:w="1243" w:type="dxa"/>
            <w:noWrap w:val="0"/>
            <w:vAlign w:val="top"/>
          </w:tcPr>
          <w:p w14:paraId="6842311C">
            <w:pPr>
              <w:rPr>
                <w:rFonts w:eastAsia="仿宋_GB2312"/>
                <w:color w:val="000000"/>
                <w:sz w:val="30"/>
                <w:szCs w:val="30"/>
              </w:rPr>
            </w:pPr>
          </w:p>
        </w:tc>
        <w:tc>
          <w:tcPr>
            <w:tcW w:w="1450" w:type="dxa"/>
            <w:noWrap w:val="0"/>
            <w:vAlign w:val="top"/>
          </w:tcPr>
          <w:p w14:paraId="2E79CD7F">
            <w:pPr>
              <w:rPr>
                <w:rFonts w:eastAsia="仿宋_GB2312"/>
                <w:color w:val="000000"/>
                <w:sz w:val="30"/>
                <w:szCs w:val="30"/>
              </w:rPr>
            </w:pPr>
          </w:p>
        </w:tc>
        <w:tc>
          <w:tcPr>
            <w:tcW w:w="1667" w:type="dxa"/>
            <w:noWrap w:val="0"/>
            <w:vAlign w:val="top"/>
          </w:tcPr>
          <w:p w14:paraId="2E0DEE06">
            <w:pPr>
              <w:rPr>
                <w:rFonts w:eastAsia="仿宋_GB2312"/>
                <w:color w:val="000000"/>
                <w:sz w:val="30"/>
                <w:szCs w:val="30"/>
              </w:rPr>
            </w:pPr>
          </w:p>
        </w:tc>
      </w:tr>
      <w:tr w14:paraId="0BADB8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center"/>
          </w:tcPr>
          <w:p w14:paraId="2C03772D">
            <w:pPr>
              <w:pStyle w:val="16"/>
              <w:keepNext/>
              <w:spacing w:after="0" w:line="440" w:lineRule="exact"/>
              <w:ind w:left="63" w:right="63"/>
              <w:rPr>
                <w:rFonts w:eastAsia="仿宋_GB2312"/>
                <w:color w:val="000000"/>
                <w:kern w:val="2"/>
                <w:sz w:val="30"/>
                <w:szCs w:val="30"/>
                <w:lang w:val="en-US" w:eastAsia="zh-CN"/>
              </w:rPr>
            </w:pPr>
          </w:p>
        </w:tc>
        <w:tc>
          <w:tcPr>
            <w:tcW w:w="1276" w:type="dxa"/>
            <w:noWrap w:val="0"/>
            <w:vAlign w:val="center"/>
          </w:tcPr>
          <w:p w14:paraId="6F9231B0">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1F155BD5">
            <w:pPr>
              <w:pStyle w:val="16"/>
              <w:keepNext/>
              <w:spacing w:after="0" w:line="440" w:lineRule="exact"/>
              <w:ind w:left="63" w:right="63"/>
              <w:rPr>
                <w:rFonts w:eastAsia="仿宋_GB2312"/>
                <w:color w:val="000000"/>
                <w:kern w:val="2"/>
                <w:sz w:val="30"/>
                <w:szCs w:val="30"/>
                <w:lang w:val="en-US" w:eastAsia="zh-CN"/>
              </w:rPr>
            </w:pPr>
          </w:p>
        </w:tc>
        <w:tc>
          <w:tcPr>
            <w:tcW w:w="1243" w:type="dxa"/>
            <w:noWrap w:val="0"/>
            <w:vAlign w:val="center"/>
          </w:tcPr>
          <w:p w14:paraId="77D7CFF4">
            <w:pPr>
              <w:pStyle w:val="16"/>
              <w:keepNext/>
              <w:spacing w:after="0" w:line="440" w:lineRule="exact"/>
              <w:ind w:left="63" w:right="63"/>
              <w:rPr>
                <w:rFonts w:eastAsia="仿宋_GB2312"/>
                <w:color w:val="000000"/>
                <w:kern w:val="2"/>
                <w:sz w:val="30"/>
                <w:szCs w:val="30"/>
                <w:lang w:val="en-US" w:eastAsia="zh-CN"/>
              </w:rPr>
            </w:pPr>
          </w:p>
        </w:tc>
        <w:tc>
          <w:tcPr>
            <w:tcW w:w="1450" w:type="dxa"/>
            <w:noWrap w:val="0"/>
            <w:vAlign w:val="center"/>
          </w:tcPr>
          <w:p w14:paraId="4CF7F5E8">
            <w:pPr>
              <w:pStyle w:val="16"/>
              <w:keepNext/>
              <w:spacing w:after="0" w:line="440" w:lineRule="exact"/>
              <w:ind w:left="63" w:right="63"/>
              <w:rPr>
                <w:rFonts w:eastAsia="仿宋_GB2312"/>
                <w:color w:val="000000"/>
                <w:kern w:val="2"/>
                <w:sz w:val="30"/>
                <w:szCs w:val="30"/>
                <w:lang w:val="en-US" w:eastAsia="zh-CN"/>
              </w:rPr>
            </w:pPr>
          </w:p>
        </w:tc>
        <w:tc>
          <w:tcPr>
            <w:tcW w:w="1667" w:type="dxa"/>
            <w:noWrap w:val="0"/>
            <w:vAlign w:val="center"/>
          </w:tcPr>
          <w:p w14:paraId="6B461232">
            <w:pPr>
              <w:pStyle w:val="16"/>
              <w:keepNext/>
              <w:spacing w:after="0" w:line="440" w:lineRule="exact"/>
              <w:ind w:left="63" w:right="63"/>
              <w:rPr>
                <w:rFonts w:eastAsia="仿宋_GB2312"/>
                <w:color w:val="000000"/>
                <w:kern w:val="2"/>
                <w:sz w:val="30"/>
                <w:szCs w:val="30"/>
                <w:lang w:val="en-US" w:eastAsia="zh-CN"/>
              </w:rPr>
            </w:pPr>
          </w:p>
        </w:tc>
      </w:tr>
      <w:tr w14:paraId="7CD01AD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79BEA21B">
            <w:pPr>
              <w:rPr>
                <w:rFonts w:eastAsia="仿宋_GB2312"/>
                <w:color w:val="000000"/>
                <w:sz w:val="30"/>
                <w:szCs w:val="30"/>
              </w:rPr>
            </w:pPr>
          </w:p>
        </w:tc>
        <w:tc>
          <w:tcPr>
            <w:tcW w:w="1276" w:type="dxa"/>
            <w:noWrap w:val="0"/>
            <w:vAlign w:val="top"/>
          </w:tcPr>
          <w:p w14:paraId="10B457B7">
            <w:pPr>
              <w:rPr>
                <w:rFonts w:eastAsia="仿宋_GB2312"/>
                <w:color w:val="000000"/>
                <w:sz w:val="30"/>
                <w:szCs w:val="30"/>
              </w:rPr>
            </w:pPr>
          </w:p>
        </w:tc>
        <w:tc>
          <w:tcPr>
            <w:tcW w:w="1450" w:type="dxa"/>
            <w:noWrap w:val="0"/>
            <w:vAlign w:val="top"/>
          </w:tcPr>
          <w:p w14:paraId="7DB522B4">
            <w:pPr>
              <w:rPr>
                <w:rFonts w:eastAsia="仿宋_GB2312"/>
                <w:color w:val="000000"/>
                <w:sz w:val="30"/>
                <w:szCs w:val="30"/>
              </w:rPr>
            </w:pPr>
          </w:p>
        </w:tc>
        <w:tc>
          <w:tcPr>
            <w:tcW w:w="1243" w:type="dxa"/>
            <w:noWrap w:val="0"/>
            <w:vAlign w:val="top"/>
          </w:tcPr>
          <w:p w14:paraId="4A8E00B3">
            <w:pPr>
              <w:rPr>
                <w:rFonts w:eastAsia="仿宋_GB2312"/>
                <w:color w:val="000000"/>
                <w:sz w:val="30"/>
                <w:szCs w:val="30"/>
              </w:rPr>
            </w:pPr>
          </w:p>
        </w:tc>
        <w:tc>
          <w:tcPr>
            <w:tcW w:w="1450" w:type="dxa"/>
            <w:noWrap w:val="0"/>
            <w:vAlign w:val="top"/>
          </w:tcPr>
          <w:p w14:paraId="1F7DBDF5">
            <w:pPr>
              <w:rPr>
                <w:rFonts w:eastAsia="仿宋_GB2312"/>
                <w:color w:val="000000"/>
                <w:sz w:val="30"/>
                <w:szCs w:val="30"/>
              </w:rPr>
            </w:pPr>
          </w:p>
        </w:tc>
        <w:tc>
          <w:tcPr>
            <w:tcW w:w="1667" w:type="dxa"/>
            <w:noWrap w:val="0"/>
            <w:vAlign w:val="top"/>
          </w:tcPr>
          <w:p w14:paraId="2F0B273D">
            <w:pPr>
              <w:rPr>
                <w:rFonts w:eastAsia="仿宋_GB2312"/>
                <w:color w:val="000000"/>
                <w:sz w:val="30"/>
                <w:szCs w:val="30"/>
              </w:rPr>
            </w:pPr>
          </w:p>
        </w:tc>
      </w:tr>
      <w:tr w14:paraId="3D6201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5E97C5D2">
            <w:pPr>
              <w:rPr>
                <w:rFonts w:eastAsia="仿宋_GB2312"/>
                <w:color w:val="000000"/>
                <w:sz w:val="30"/>
                <w:szCs w:val="30"/>
              </w:rPr>
            </w:pPr>
          </w:p>
        </w:tc>
        <w:tc>
          <w:tcPr>
            <w:tcW w:w="1276" w:type="dxa"/>
            <w:noWrap w:val="0"/>
            <w:vAlign w:val="top"/>
          </w:tcPr>
          <w:p w14:paraId="17721BAA">
            <w:pPr>
              <w:rPr>
                <w:rFonts w:eastAsia="仿宋_GB2312"/>
                <w:color w:val="000000"/>
                <w:sz w:val="30"/>
                <w:szCs w:val="30"/>
              </w:rPr>
            </w:pPr>
          </w:p>
        </w:tc>
        <w:tc>
          <w:tcPr>
            <w:tcW w:w="1450" w:type="dxa"/>
            <w:noWrap w:val="0"/>
            <w:vAlign w:val="top"/>
          </w:tcPr>
          <w:p w14:paraId="7607F16E">
            <w:pPr>
              <w:rPr>
                <w:rFonts w:eastAsia="仿宋_GB2312"/>
                <w:color w:val="000000"/>
                <w:sz w:val="30"/>
                <w:szCs w:val="30"/>
              </w:rPr>
            </w:pPr>
          </w:p>
        </w:tc>
        <w:tc>
          <w:tcPr>
            <w:tcW w:w="1243" w:type="dxa"/>
            <w:noWrap w:val="0"/>
            <w:vAlign w:val="top"/>
          </w:tcPr>
          <w:p w14:paraId="1793F61B">
            <w:pPr>
              <w:rPr>
                <w:rFonts w:eastAsia="仿宋_GB2312"/>
                <w:color w:val="000000"/>
                <w:sz w:val="30"/>
                <w:szCs w:val="30"/>
              </w:rPr>
            </w:pPr>
          </w:p>
        </w:tc>
        <w:tc>
          <w:tcPr>
            <w:tcW w:w="1450" w:type="dxa"/>
            <w:noWrap w:val="0"/>
            <w:vAlign w:val="top"/>
          </w:tcPr>
          <w:p w14:paraId="01CAEA05">
            <w:pPr>
              <w:rPr>
                <w:rFonts w:eastAsia="仿宋_GB2312"/>
                <w:color w:val="000000"/>
                <w:sz w:val="30"/>
                <w:szCs w:val="30"/>
              </w:rPr>
            </w:pPr>
          </w:p>
        </w:tc>
        <w:tc>
          <w:tcPr>
            <w:tcW w:w="1667" w:type="dxa"/>
            <w:noWrap w:val="0"/>
            <w:vAlign w:val="top"/>
          </w:tcPr>
          <w:p w14:paraId="009E0FB0">
            <w:pPr>
              <w:rPr>
                <w:rFonts w:eastAsia="仿宋_GB2312"/>
                <w:color w:val="000000"/>
                <w:sz w:val="30"/>
                <w:szCs w:val="30"/>
              </w:rPr>
            </w:pPr>
          </w:p>
        </w:tc>
      </w:tr>
      <w:tr w14:paraId="0694222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03441C2A">
            <w:pPr>
              <w:rPr>
                <w:rFonts w:eastAsia="仿宋_GB2312"/>
                <w:color w:val="000000"/>
                <w:sz w:val="30"/>
                <w:szCs w:val="30"/>
              </w:rPr>
            </w:pPr>
          </w:p>
        </w:tc>
        <w:tc>
          <w:tcPr>
            <w:tcW w:w="1276" w:type="dxa"/>
            <w:noWrap w:val="0"/>
            <w:vAlign w:val="top"/>
          </w:tcPr>
          <w:p w14:paraId="6CF90DC9">
            <w:pPr>
              <w:rPr>
                <w:rFonts w:eastAsia="仿宋_GB2312"/>
                <w:color w:val="000000"/>
                <w:sz w:val="30"/>
                <w:szCs w:val="30"/>
              </w:rPr>
            </w:pPr>
          </w:p>
        </w:tc>
        <w:tc>
          <w:tcPr>
            <w:tcW w:w="1450" w:type="dxa"/>
            <w:noWrap w:val="0"/>
            <w:vAlign w:val="top"/>
          </w:tcPr>
          <w:p w14:paraId="447092F0">
            <w:pPr>
              <w:rPr>
                <w:rFonts w:eastAsia="仿宋_GB2312"/>
                <w:color w:val="000000"/>
                <w:sz w:val="30"/>
                <w:szCs w:val="30"/>
              </w:rPr>
            </w:pPr>
          </w:p>
        </w:tc>
        <w:tc>
          <w:tcPr>
            <w:tcW w:w="1243" w:type="dxa"/>
            <w:noWrap w:val="0"/>
            <w:vAlign w:val="top"/>
          </w:tcPr>
          <w:p w14:paraId="194ABF89">
            <w:pPr>
              <w:rPr>
                <w:rFonts w:eastAsia="仿宋_GB2312"/>
                <w:color w:val="000000"/>
                <w:sz w:val="30"/>
                <w:szCs w:val="30"/>
              </w:rPr>
            </w:pPr>
          </w:p>
        </w:tc>
        <w:tc>
          <w:tcPr>
            <w:tcW w:w="1450" w:type="dxa"/>
            <w:noWrap w:val="0"/>
            <w:vAlign w:val="top"/>
          </w:tcPr>
          <w:p w14:paraId="17A682C8">
            <w:pPr>
              <w:rPr>
                <w:rFonts w:eastAsia="仿宋_GB2312"/>
                <w:color w:val="000000"/>
                <w:sz w:val="30"/>
                <w:szCs w:val="30"/>
              </w:rPr>
            </w:pPr>
          </w:p>
        </w:tc>
        <w:tc>
          <w:tcPr>
            <w:tcW w:w="1667" w:type="dxa"/>
            <w:noWrap w:val="0"/>
            <w:vAlign w:val="top"/>
          </w:tcPr>
          <w:p w14:paraId="4FC3E167">
            <w:pPr>
              <w:rPr>
                <w:rFonts w:eastAsia="仿宋_GB2312"/>
                <w:color w:val="000000"/>
                <w:sz w:val="30"/>
                <w:szCs w:val="30"/>
              </w:rPr>
            </w:pPr>
          </w:p>
        </w:tc>
      </w:tr>
      <w:tr w14:paraId="4FDCDD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174D3C9F">
            <w:pPr>
              <w:rPr>
                <w:rFonts w:eastAsia="仿宋_GB2312"/>
                <w:color w:val="000000"/>
                <w:sz w:val="30"/>
                <w:szCs w:val="30"/>
              </w:rPr>
            </w:pPr>
          </w:p>
        </w:tc>
        <w:tc>
          <w:tcPr>
            <w:tcW w:w="1276" w:type="dxa"/>
            <w:noWrap w:val="0"/>
            <w:vAlign w:val="top"/>
          </w:tcPr>
          <w:p w14:paraId="2BA45A23">
            <w:pPr>
              <w:rPr>
                <w:rFonts w:eastAsia="仿宋_GB2312"/>
                <w:color w:val="000000"/>
                <w:sz w:val="30"/>
                <w:szCs w:val="30"/>
              </w:rPr>
            </w:pPr>
          </w:p>
        </w:tc>
        <w:tc>
          <w:tcPr>
            <w:tcW w:w="1450" w:type="dxa"/>
            <w:noWrap w:val="0"/>
            <w:vAlign w:val="top"/>
          </w:tcPr>
          <w:p w14:paraId="4F64BFA5">
            <w:pPr>
              <w:rPr>
                <w:rFonts w:eastAsia="仿宋_GB2312"/>
                <w:color w:val="000000"/>
                <w:sz w:val="30"/>
                <w:szCs w:val="30"/>
              </w:rPr>
            </w:pPr>
          </w:p>
        </w:tc>
        <w:tc>
          <w:tcPr>
            <w:tcW w:w="1243" w:type="dxa"/>
            <w:noWrap w:val="0"/>
            <w:vAlign w:val="top"/>
          </w:tcPr>
          <w:p w14:paraId="1E68BF34">
            <w:pPr>
              <w:rPr>
                <w:rFonts w:eastAsia="仿宋_GB2312"/>
                <w:color w:val="000000"/>
                <w:sz w:val="30"/>
                <w:szCs w:val="30"/>
              </w:rPr>
            </w:pPr>
          </w:p>
        </w:tc>
        <w:tc>
          <w:tcPr>
            <w:tcW w:w="1450" w:type="dxa"/>
            <w:noWrap w:val="0"/>
            <w:vAlign w:val="top"/>
          </w:tcPr>
          <w:p w14:paraId="415681FD">
            <w:pPr>
              <w:rPr>
                <w:rFonts w:eastAsia="仿宋_GB2312"/>
                <w:color w:val="000000"/>
                <w:sz w:val="30"/>
                <w:szCs w:val="30"/>
              </w:rPr>
            </w:pPr>
          </w:p>
        </w:tc>
        <w:tc>
          <w:tcPr>
            <w:tcW w:w="1667" w:type="dxa"/>
            <w:noWrap w:val="0"/>
            <w:vAlign w:val="top"/>
          </w:tcPr>
          <w:p w14:paraId="53D89AD7">
            <w:pPr>
              <w:rPr>
                <w:rFonts w:eastAsia="仿宋_GB2312"/>
                <w:color w:val="000000"/>
                <w:sz w:val="30"/>
                <w:szCs w:val="30"/>
              </w:rPr>
            </w:pPr>
          </w:p>
        </w:tc>
      </w:tr>
      <w:tr w14:paraId="3DD02BE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2D37BEF6">
            <w:pPr>
              <w:rPr>
                <w:rFonts w:eastAsia="仿宋_GB2312"/>
                <w:color w:val="000000"/>
                <w:sz w:val="30"/>
                <w:szCs w:val="30"/>
              </w:rPr>
            </w:pPr>
          </w:p>
        </w:tc>
        <w:tc>
          <w:tcPr>
            <w:tcW w:w="1276" w:type="dxa"/>
            <w:noWrap w:val="0"/>
            <w:vAlign w:val="top"/>
          </w:tcPr>
          <w:p w14:paraId="2C1C9D73">
            <w:pPr>
              <w:rPr>
                <w:rFonts w:eastAsia="仿宋_GB2312"/>
                <w:color w:val="000000"/>
                <w:sz w:val="30"/>
                <w:szCs w:val="30"/>
              </w:rPr>
            </w:pPr>
          </w:p>
        </w:tc>
        <w:tc>
          <w:tcPr>
            <w:tcW w:w="1450" w:type="dxa"/>
            <w:noWrap w:val="0"/>
            <w:vAlign w:val="top"/>
          </w:tcPr>
          <w:p w14:paraId="4309618C">
            <w:pPr>
              <w:rPr>
                <w:rFonts w:eastAsia="仿宋_GB2312"/>
                <w:color w:val="000000"/>
                <w:sz w:val="30"/>
                <w:szCs w:val="30"/>
              </w:rPr>
            </w:pPr>
          </w:p>
        </w:tc>
        <w:tc>
          <w:tcPr>
            <w:tcW w:w="1243" w:type="dxa"/>
            <w:noWrap w:val="0"/>
            <w:vAlign w:val="top"/>
          </w:tcPr>
          <w:p w14:paraId="5E208E7B">
            <w:pPr>
              <w:rPr>
                <w:rFonts w:eastAsia="仿宋_GB2312"/>
                <w:color w:val="000000"/>
                <w:sz w:val="30"/>
                <w:szCs w:val="30"/>
              </w:rPr>
            </w:pPr>
          </w:p>
        </w:tc>
        <w:tc>
          <w:tcPr>
            <w:tcW w:w="1450" w:type="dxa"/>
            <w:noWrap w:val="0"/>
            <w:vAlign w:val="top"/>
          </w:tcPr>
          <w:p w14:paraId="54F7BA9A">
            <w:pPr>
              <w:rPr>
                <w:rFonts w:eastAsia="仿宋_GB2312"/>
                <w:color w:val="000000"/>
                <w:sz w:val="30"/>
                <w:szCs w:val="30"/>
              </w:rPr>
            </w:pPr>
          </w:p>
        </w:tc>
        <w:tc>
          <w:tcPr>
            <w:tcW w:w="1667" w:type="dxa"/>
            <w:noWrap w:val="0"/>
            <w:vAlign w:val="top"/>
          </w:tcPr>
          <w:p w14:paraId="079E4F8F">
            <w:pPr>
              <w:rPr>
                <w:rFonts w:eastAsia="仿宋_GB2312"/>
                <w:color w:val="000000"/>
                <w:sz w:val="30"/>
                <w:szCs w:val="30"/>
              </w:rPr>
            </w:pPr>
          </w:p>
        </w:tc>
      </w:tr>
      <w:tr w14:paraId="4C1051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76BECAEC">
            <w:pPr>
              <w:rPr>
                <w:rFonts w:eastAsia="仿宋_GB2312"/>
                <w:color w:val="000000"/>
                <w:sz w:val="30"/>
                <w:szCs w:val="30"/>
              </w:rPr>
            </w:pPr>
          </w:p>
        </w:tc>
        <w:tc>
          <w:tcPr>
            <w:tcW w:w="1276" w:type="dxa"/>
            <w:noWrap w:val="0"/>
            <w:vAlign w:val="top"/>
          </w:tcPr>
          <w:p w14:paraId="3FAD8084">
            <w:pPr>
              <w:rPr>
                <w:rFonts w:eastAsia="仿宋_GB2312"/>
                <w:color w:val="000000"/>
                <w:sz w:val="30"/>
                <w:szCs w:val="30"/>
              </w:rPr>
            </w:pPr>
          </w:p>
        </w:tc>
        <w:tc>
          <w:tcPr>
            <w:tcW w:w="1450" w:type="dxa"/>
            <w:noWrap w:val="0"/>
            <w:vAlign w:val="top"/>
          </w:tcPr>
          <w:p w14:paraId="064F5FB9">
            <w:pPr>
              <w:rPr>
                <w:rFonts w:eastAsia="仿宋_GB2312"/>
                <w:color w:val="000000"/>
                <w:sz w:val="30"/>
                <w:szCs w:val="30"/>
              </w:rPr>
            </w:pPr>
          </w:p>
        </w:tc>
        <w:tc>
          <w:tcPr>
            <w:tcW w:w="1243" w:type="dxa"/>
            <w:noWrap w:val="0"/>
            <w:vAlign w:val="top"/>
          </w:tcPr>
          <w:p w14:paraId="29D44303">
            <w:pPr>
              <w:rPr>
                <w:rFonts w:eastAsia="仿宋_GB2312"/>
                <w:color w:val="000000"/>
                <w:sz w:val="30"/>
                <w:szCs w:val="30"/>
              </w:rPr>
            </w:pPr>
          </w:p>
        </w:tc>
        <w:tc>
          <w:tcPr>
            <w:tcW w:w="1450" w:type="dxa"/>
            <w:noWrap w:val="0"/>
            <w:vAlign w:val="top"/>
          </w:tcPr>
          <w:p w14:paraId="4C06EAB2">
            <w:pPr>
              <w:rPr>
                <w:rFonts w:eastAsia="仿宋_GB2312"/>
                <w:color w:val="000000"/>
                <w:sz w:val="30"/>
                <w:szCs w:val="30"/>
              </w:rPr>
            </w:pPr>
          </w:p>
        </w:tc>
        <w:tc>
          <w:tcPr>
            <w:tcW w:w="1667" w:type="dxa"/>
            <w:noWrap w:val="0"/>
            <w:vAlign w:val="top"/>
          </w:tcPr>
          <w:p w14:paraId="71D7F6D2">
            <w:pPr>
              <w:rPr>
                <w:rFonts w:eastAsia="仿宋_GB2312"/>
                <w:color w:val="000000"/>
                <w:sz w:val="30"/>
                <w:szCs w:val="30"/>
              </w:rPr>
            </w:pPr>
          </w:p>
        </w:tc>
      </w:tr>
      <w:tr w14:paraId="5B65674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5B9A02AA">
            <w:pPr>
              <w:rPr>
                <w:rFonts w:eastAsia="仿宋_GB2312"/>
                <w:color w:val="000000"/>
                <w:sz w:val="30"/>
                <w:szCs w:val="30"/>
              </w:rPr>
            </w:pPr>
          </w:p>
        </w:tc>
        <w:tc>
          <w:tcPr>
            <w:tcW w:w="1276" w:type="dxa"/>
            <w:noWrap w:val="0"/>
            <w:vAlign w:val="top"/>
          </w:tcPr>
          <w:p w14:paraId="475A748D">
            <w:pPr>
              <w:rPr>
                <w:rFonts w:eastAsia="仿宋_GB2312"/>
                <w:color w:val="000000"/>
                <w:sz w:val="30"/>
                <w:szCs w:val="30"/>
              </w:rPr>
            </w:pPr>
          </w:p>
        </w:tc>
        <w:tc>
          <w:tcPr>
            <w:tcW w:w="1450" w:type="dxa"/>
            <w:noWrap w:val="0"/>
            <w:vAlign w:val="top"/>
          </w:tcPr>
          <w:p w14:paraId="5839F0F3">
            <w:pPr>
              <w:rPr>
                <w:rFonts w:eastAsia="仿宋_GB2312"/>
                <w:color w:val="000000"/>
                <w:sz w:val="30"/>
                <w:szCs w:val="30"/>
              </w:rPr>
            </w:pPr>
          </w:p>
        </w:tc>
        <w:tc>
          <w:tcPr>
            <w:tcW w:w="1243" w:type="dxa"/>
            <w:noWrap w:val="0"/>
            <w:vAlign w:val="top"/>
          </w:tcPr>
          <w:p w14:paraId="4648D4F5">
            <w:pPr>
              <w:rPr>
                <w:rFonts w:eastAsia="仿宋_GB2312"/>
                <w:color w:val="000000"/>
                <w:sz w:val="30"/>
                <w:szCs w:val="30"/>
              </w:rPr>
            </w:pPr>
          </w:p>
        </w:tc>
        <w:tc>
          <w:tcPr>
            <w:tcW w:w="1450" w:type="dxa"/>
            <w:noWrap w:val="0"/>
            <w:vAlign w:val="top"/>
          </w:tcPr>
          <w:p w14:paraId="736C4A54">
            <w:pPr>
              <w:rPr>
                <w:rFonts w:eastAsia="仿宋_GB2312"/>
                <w:color w:val="000000"/>
                <w:sz w:val="30"/>
                <w:szCs w:val="30"/>
              </w:rPr>
            </w:pPr>
          </w:p>
        </w:tc>
        <w:tc>
          <w:tcPr>
            <w:tcW w:w="1667" w:type="dxa"/>
            <w:noWrap w:val="0"/>
            <w:vAlign w:val="top"/>
          </w:tcPr>
          <w:p w14:paraId="109D1CD3">
            <w:pPr>
              <w:rPr>
                <w:rFonts w:eastAsia="仿宋_GB2312"/>
                <w:color w:val="000000"/>
                <w:sz w:val="30"/>
                <w:szCs w:val="30"/>
              </w:rPr>
            </w:pPr>
          </w:p>
        </w:tc>
      </w:tr>
      <w:tr w14:paraId="0A7F952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3B424E07">
            <w:pPr>
              <w:rPr>
                <w:rFonts w:eastAsia="仿宋_GB2312"/>
                <w:color w:val="000000"/>
                <w:sz w:val="30"/>
                <w:szCs w:val="30"/>
              </w:rPr>
            </w:pPr>
          </w:p>
        </w:tc>
        <w:tc>
          <w:tcPr>
            <w:tcW w:w="1276" w:type="dxa"/>
            <w:noWrap w:val="0"/>
            <w:vAlign w:val="top"/>
          </w:tcPr>
          <w:p w14:paraId="29381D43">
            <w:pPr>
              <w:rPr>
                <w:rFonts w:eastAsia="仿宋_GB2312"/>
                <w:color w:val="000000"/>
                <w:sz w:val="30"/>
                <w:szCs w:val="30"/>
              </w:rPr>
            </w:pPr>
          </w:p>
        </w:tc>
        <w:tc>
          <w:tcPr>
            <w:tcW w:w="1450" w:type="dxa"/>
            <w:noWrap w:val="0"/>
            <w:vAlign w:val="top"/>
          </w:tcPr>
          <w:p w14:paraId="741B75CE">
            <w:pPr>
              <w:rPr>
                <w:rFonts w:eastAsia="仿宋_GB2312"/>
                <w:color w:val="000000"/>
                <w:sz w:val="30"/>
                <w:szCs w:val="30"/>
              </w:rPr>
            </w:pPr>
          </w:p>
        </w:tc>
        <w:tc>
          <w:tcPr>
            <w:tcW w:w="1243" w:type="dxa"/>
            <w:noWrap w:val="0"/>
            <w:vAlign w:val="top"/>
          </w:tcPr>
          <w:p w14:paraId="52F472A7">
            <w:pPr>
              <w:rPr>
                <w:rFonts w:eastAsia="仿宋_GB2312"/>
                <w:color w:val="000000"/>
                <w:sz w:val="30"/>
                <w:szCs w:val="30"/>
              </w:rPr>
            </w:pPr>
          </w:p>
        </w:tc>
        <w:tc>
          <w:tcPr>
            <w:tcW w:w="1450" w:type="dxa"/>
            <w:noWrap w:val="0"/>
            <w:vAlign w:val="top"/>
          </w:tcPr>
          <w:p w14:paraId="65946E75">
            <w:pPr>
              <w:rPr>
                <w:rFonts w:eastAsia="仿宋_GB2312"/>
                <w:color w:val="000000"/>
                <w:sz w:val="30"/>
                <w:szCs w:val="30"/>
              </w:rPr>
            </w:pPr>
          </w:p>
        </w:tc>
        <w:tc>
          <w:tcPr>
            <w:tcW w:w="1667" w:type="dxa"/>
            <w:noWrap w:val="0"/>
            <w:vAlign w:val="top"/>
          </w:tcPr>
          <w:p w14:paraId="5D4219DB">
            <w:pPr>
              <w:rPr>
                <w:rFonts w:eastAsia="仿宋_GB2312"/>
                <w:color w:val="000000"/>
                <w:sz w:val="30"/>
                <w:szCs w:val="30"/>
              </w:rPr>
            </w:pPr>
          </w:p>
        </w:tc>
      </w:tr>
      <w:tr w14:paraId="369EAC1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953" w:type="dxa"/>
            <w:noWrap w:val="0"/>
            <w:vAlign w:val="top"/>
          </w:tcPr>
          <w:p w14:paraId="15097D62">
            <w:pPr>
              <w:rPr>
                <w:rFonts w:eastAsia="仿宋_GB2312"/>
                <w:color w:val="000000"/>
                <w:sz w:val="30"/>
                <w:szCs w:val="30"/>
              </w:rPr>
            </w:pPr>
          </w:p>
        </w:tc>
        <w:tc>
          <w:tcPr>
            <w:tcW w:w="1276" w:type="dxa"/>
            <w:noWrap w:val="0"/>
            <w:vAlign w:val="top"/>
          </w:tcPr>
          <w:p w14:paraId="558345A6">
            <w:pPr>
              <w:rPr>
                <w:rFonts w:eastAsia="仿宋_GB2312"/>
                <w:color w:val="000000"/>
                <w:sz w:val="30"/>
                <w:szCs w:val="30"/>
              </w:rPr>
            </w:pPr>
          </w:p>
        </w:tc>
        <w:tc>
          <w:tcPr>
            <w:tcW w:w="1450" w:type="dxa"/>
            <w:noWrap w:val="0"/>
            <w:vAlign w:val="top"/>
          </w:tcPr>
          <w:p w14:paraId="09F3C230">
            <w:pPr>
              <w:rPr>
                <w:rFonts w:eastAsia="仿宋_GB2312"/>
                <w:color w:val="000000"/>
                <w:sz w:val="30"/>
                <w:szCs w:val="30"/>
              </w:rPr>
            </w:pPr>
          </w:p>
        </w:tc>
        <w:tc>
          <w:tcPr>
            <w:tcW w:w="1243" w:type="dxa"/>
            <w:noWrap w:val="0"/>
            <w:vAlign w:val="top"/>
          </w:tcPr>
          <w:p w14:paraId="5A663CD9">
            <w:pPr>
              <w:rPr>
                <w:rFonts w:eastAsia="仿宋_GB2312"/>
                <w:color w:val="000000"/>
                <w:sz w:val="30"/>
                <w:szCs w:val="30"/>
              </w:rPr>
            </w:pPr>
          </w:p>
        </w:tc>
        <w:tc>
          <w:tcPr>
            <w:tcW w:w="1450" w:type="dxa"/>
            <w:noWrap w:val="0"/>
            <w:vAlign w:val="top"/>
          </w:tcPr>
          <w:p w14:paraId="77ABC993">
            <w:pPr>
              <w:rPr>
                <w:rFonts w:eastAsia="仿宋_GB2312"/>
                <w:color w:val="000000"/>
                <w:sz w:val="30"/>
                <w:szCs w:val="30"/>
              </w:rPr>
            </w:pPr>
          </w:p>
        </w:tc>
        <w:tc>
          <w:tcPr>
            <w:tcW w:w="1667" w:type="dxa"/>
            <w:noWrap w:val="0"/>
            <w:vAlign w:val="top"/>
          </w:tcPr>
          <w:p w14:paraId="75E4F587">
            <w:pPr>
              <w:rPr>
                <w:rFonts w:eastAsia="仿宋_GB2312"/>
                <w:color w:val="000000"/>
                <w:sz w:val="30"/>
                <w:szCs w:val="30"/>
              </w:rPr>
            </w:pPr>
          </w:p>
        </w:tc>
      </w:tr>
    </w:tbl>
    <w:p w14:paraId="24BE80FE">
      <w:pPr>
        <w:spacing w:line="440" w:lineRule="exact"/>
        <w:rPr>
          <w:rFonts w:hint="eastAsia" w:ascii="Times New Roman" w:hAnsi="Times New Roman" w:eastAsia="仿宋_GB2312"/>
          <w:color w:val="000000"/>
          <w:sz w:val="30"/>
          <w:szCs w:val="30"/>
        </w:rPr>
      </w:pPr>
    </w:p>
    <w:p w14:paraId="29C01071">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999" w:name="_Toc296346728"/>
      <w:bookmarkStart w:id="1000" w:name="_Toc296503227"/>
      <w:bookmarkStart w:id="1001" w:name="_Toc296891267"/>
      <w:bookmarkStart w:id="1002" w:name="_Toc296944566"/>
      <w:bookmarkStart w:id="1003" w:name="_Toc267261698"/>
      <w:bookmarkStart w:id="1004" w:name="_Toc296347226"/>
      <w:bookmarkStart w:id="1005" w:name="_Toc296891055"/>
      <w:r>
        <w:rPr>
          <w:rFonts w:ascii="Times New Roman" w:hAnsi="Times New Roman" w:eastAsia="仿宋_GB2312"/>
          <w:color w:val="000000"/>
          <w:sz w:val="30"/>
          <w:szCs w:val="30"/>
        </w:rPr>
        <w:t>件5：</w:t>
      </w:r>
    </w:p>
    <w:bookmarkEnd w:id="999"/>
    <w:bookmarkEnd w:id="1000"/>
    <w:bookmarkEnd w:id="1001"/>
    <w:bookmarkEnd w:id="1002"/>
    <w:bookmarkEnd w:id="1003"/>
    <w:bookmarkEnd w:id="1004"/>
    <w:bookmarkEnd w:id="1005"/>
    <w:p w14:paraId="4A558C0D">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承包人用于本工程施工的机械设备表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162"/>
        <w:gridCol w:w="1418"/>
        <w:gridCol w:w="850"/>
        <w:gridCol w:w="1058"/>
        <w:gridCol w:w="880"/>
        <w:gridCol w:w="1020"/>
        <w:gridCol w:w="1480"/>
        <w:gridCol w:w="1020"/>
        <w:gridCol w:w="921"/>
      </w:tblGrid>
      <w:tr w14:paraId="28BA07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162" w:type="dxa"/>
            <w:tcBorders>
              <w:top w:val="single" w:color="auto" w:sz="12" w:space="0"/>
              <w:bottom w:val="double" w:color="auto" w:sz="6" w:space="0"/>
            </w:tcBorders>
            <w:noWrap w:val="0"/>
            <w:vAlign w:val="center"/>
          </w:tcPr>
          <w:p w14:paraId="0E20713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418" w:type="dxa"/>
            <w:tcBorders>
              <w:top w:val="single" w:color="auto" w:sz="12" w:space="0"/>
              <w:bottom w:val="double" w:color="auto" w:sz="6" w:space="0"/>
            </w:tcBorders>
            <w:noWrap w:val="0"/>
            <w:vAlign w:val="center"/>
          </w:tcPr>
          <w:p w14:paraId="744C80E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机械或设备名称</w:t>
            </w:r>
          </w:p>
        </w:tc>
        <w:tc>
          <w:tcPr>
            <w:tcW w:w="850" w:type="dxa"/>
            <w:tcBorders>
              <w:top w:val="single" w:color="auto" w:sz="12" w:space="0"/>
              <w:bottom w:val="double" w:color="auto" w:sz="6" w:space="0"/>
            </w:tcBorders>
            <w:noWrap w:val="0"/>
            <w:vAlign w:val="center"/>
          </w:tcPr>
          <w:p w14:paraId="331BEBE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规格型号</w:t>
            </w:r>
          </w:p>
        </w:tc>
        <w:tc>
          <w:tcPr>
            <w:tcW w:w="1058" w:type="dxa"/>
            <w:tcBorders>
              <w:top w:val="single" w:color="auto" w:sz="12" w:space="0"/>
              <w:bottom w:val="double" w:color="auto" w:sz="6" w:space="0"/>
            </w:tcBorders>
            <w:noWrap w:val="0"/>
            <w:vAlign w:val="center"/>
          </w:tcPr>
          <w:p w14:paraId="3955875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880" w:type="dxa"/>
            <w:tcBorders>
              <w:top w:val="single" w:color="auto" w:sz="12" w:space="0"/>
              <w:bottom w:val="double" w:color="auto" w:sz="6" w:space="0"/>
            </w:tcBorders>
            <w:noWrap w:val="0"/>
            <w:vAlign w:val="center"/>
          </w:tcPr>
          <w:p w14:paraId="77B790C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产地</w:t>
            </w:r>
          </w:p>
        </w:tc>
        <w:tc>
          <w:tcPr>
            <w:tcW w:w="1020" w:type="dxa"/>
            <w:tcBorders>
              <w:top w:val="single" w:color="auto" w:sz="12" w:space="0"/>
              <w:bottom w:val="double" w:color="auto" w:sz="6" w:space="0"/>
            </w:tcBorders>
            <w:noWrap w:val="0"/>
            <w:vAlign w:val="center"/>
          </w:tcPr>
          <w:p w14:paraId="63AA3C3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制造年份</w:t>
            </w:r>
          </w:p>
        </w:tc>
        <w:tc>
          <w:tcPr>
            <w:tcW w:w="1480" w:type="dxa"/>
            <w:tcBorders>
              <w:top w:val="single" w:color="auto" w:sz="12" w:space="0"/>
              <w:bottom w:val="double" w:color="auto" w:sz="6" w:space="0"/>
            </w:tcBorders>
            <w:noWrap w:val="0"/>
            <w:vAlign w:val="center"/>
          </w:tcPr>
          <w:p w14:paraId="13EBEFF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额定功率(kW)</w:t>
            </w:r>
          </w:p>
        </w:tc>
        <w:tc>
          <w:tcPr>
            <w:tcW w:w="1020" w:type="dxa"/>
            <w:tcBorders>
              <w:top w:val="single" w:color="auto" w:sz="12" w:space="0"/>
              <w:bottom w:val="double" w:color="auto" w:sz="6" w:space="0"/>
            </w:tcBorders>
            <w:noWrap w:val="0"/>
            <w:vAlign w:val="center"/>
          </w:tcPr>
          <w:p w14:paraId="664BFB1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生产能力</w:t>
            </w:r>
          </w:p>
        </w:tc>
        <w:tc>
          <w:tcPr>
            <w:tcW w:w="921" w:type="dxa"/>
            <w:tcBorders>
              <w:top w:val="single" w:color="auto" w:sz="12" w:space="0"/>
              <w:bottom w:val="double" w:color="auto" w:sz="6" w:space="0"/>
            </w:tcBorders>
            <w:noWrap w:val="0"/>
            <w:vAlign w:val="center"/>
          </w:tcPr>
          <w:p w14:paraId="42B88F84">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0C3EC4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double" w:color="auto" w:sz="6" w:space="0"/>
              <w:bottom w:val="single" w:color="auto" w:sz="6" w:space="0"/>
            </w:tcBorders>
            <w:noWrap w:val="0"/>
            <w:vAlign w:val="center"/>
          </w:tcPr>
          <w:p w14:paraId="0719020E">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double" w:color="auto" w:sz="6" w:space="0"/>
              <w:bottom w:val="single" w:color="auto" w:sz="6" w:space="0"/>
            </w:tcBorders>
            <w:noWrap w:val="0"/>
            <w:vAlign w:val="center"/>
          </w:tcPr>
          <w:p w14:paraId="17A00615">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double" w:color="auto" w:sz="6" w:space="0"/>
              <w:bottom w:val="single" w:color="auto" w:sz="6" w:space="0"/>
            </w:tcBorders>
            <w:noWrap w:val="0"/>
            <w:vAlign w:val="center"/>
          </w:tcPr>
          <w:p w14:paraId="6E69C4AB">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double" w:color="auto" w:sz="6" w:space="0"/>
              <w:bottom w:val="single" w:color="auto" w:sz="6" w:space="0"/>
            </w:tcBorders>
            <w:noWrap w:val="0"/>
            <w:vAlign w:val="center"/>
          </w:tcPr>
          <w:p w14:paraId="19ADE6D2">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double" w:color="auto" w:sz="6" w:space="0"/>
              <w:bottom w:val="single" w:color="auto" w:sz="6" w:space="0"/>
            </w:tcBorders>
            <w:noWrap w:val="0"/>
            <w:vAlign w:val="center"/>
          </w:tcPr>
          <w:p w14:paraId="12F73273">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5CD2A677">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double" w:color="auto" w:sz="6" w:space="0"/>
              <w:bottom w:val="single" w:color="auto" w:sz="6" w:space="0"/>
            </w:tcBorders>
            <w:noWrap w:val="0"/>
            <w:vAlign w:val="center"/>
          </w:tcPr>
          <w:p w14:paraId="58C520D2">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double" w:color="auto" w:sz="6" w:space="0"/>
              <w:bottom w:val="single" w:color="auto" w:sz="6" w:space="0"/>
            </w:tcBorders>
            <w:noWrap w:val="0"/>
            <w:vAlign w:val="center"/>
          </w:tcPr>
          <w:p w14:paraId="39D8F954">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double" w:color="auto" w:sz="6" w:space="0"/>
              <w:bottom w:val="single" w:color="auto" w:sz="6" w:space="0"/>
            </w:tcBorders>
            <w:noWrap w:val="0"/>
            <w:vAlign w:val="center"/>
          </w:tcPr>
          <w:p w14:paraId="2BE92B25">
            <w:pPr>
              <w:pStyle w:val="16"/>
              <w:keepNext/>
              <w:spacing w:after="0" w:line="440" w:lineRule="exact"/>
              <w:ind w:left="63" w:right="63"/>
              <w:rPr>
                <w:rFonts w:eastAsia="仿宋_GB2312"/>
                <w:color w:val="000000"/>
                <w:kern w:val="2"/>
                <w:sz w:val="30"/>
                <w:szCs w:val="30"/>
                <w:lang w:val="en-US" w:eastAsia="zh-CN"/>
              </w:rPr>
            </w:pPr>
          </w:p>
        </w:tc>
      </w:tr>
      <w:tr w14:paraId="4989E52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tcBorders>
              <w:top w:val="nil"/>
            </w:tcBorders>
            <w:noWrap w:val="0"/>
            <w:vAlign w:val="center"/>
          </w:tcPr>
          <w:p w14:paraId="34F03CAD">
            <w:pPr>
              <w:pStyle w:val="16"/>
              <w:keepNext/>
              <w:spacing w:after="0" w:line="440" w:lineRule="exact"/>
              <w:ind w:left="63" w:right="63"/>
              <w:rPr>
                <w:rFonts w:eastAsia="仿宋_GB2312"/>
                <w:color w:val="000000"/>
                <w:kern w:val="2"/>
                <w:sz w:val="30"/>
                <w:szCs w:val="30"/>
                <w:lang w:val="en-US" w:eastAsia="zh-CN"/>
              </w:rPr>
            </w:pPr>
          </w:p>
        </w:tc>
        <w:tc>
          <w:tcPr>
            <w:tcW w:w="1418" w:type="dxa"/>
            <w:tcBorders>
              <w:top w:val="nil"/>
            </w:tcBorders>
            <w:noWrap w:val="0"/>
            <w:vAlign w:val="center"/>
          </w:tcPr>
          <w:p w14:paraId="69EFADED">
            <w:pPr>
              <w:pStyle w:val="16"/>
              <w:keepNext/>
              <w:spacing w:after="0" w:line="440" w:lineRule="exact"/>
              <w:ind w:left="63" w:right="63"/>
              <w:rPr>
                <w:rFonts w:eastAsia="仿宋_GB2312"/>
                <w:color w:val="000000"/>
                <w:kern w:val="2"/>
                <w:sz w:val="30"/>
                <w:szCs w:val="30"/>
                <w:lang w:val="en-US" w:eastAsia="zh-CN"/>
              </w:rPr>
            </w:pPr>
          </w:p>
        </w:tc>
        <w:tc>
          <w:tcPr>
            <w:tcW w:w="850" w:type="dxa"/>
            <w:tcBorders>
              <w:top w:val="nil"/>
            </w:tcBorders>
            <w:noWrap w:val="0"/>
            <w:vAlign w:val="center"/>
          </w:tcPr>
          <w:p w14:paraId="46E4BD77">
            <w:pPr>
              <w:pStyle w:val="16"/>
              <w:keepNext/>
              <w:spacing w:after="0" w:line="440" w:lineRule="exact"/>
              <w:ind w:left="63" w:right="63"/>
              <w:rPr>
                <w:rFonts w:eastAsia="仿宋_GB2312"/>
                <w:color w:val="000000"/>
                <w:kern w:val="2"/>
                <w:sz w:val="30"/>
                <w:szCs w:val="30"/>
                <w:lang w:val="en-US" w:eastAsia="zh-CN"/>
              </w:rPr>
            </w:pPr>
          </w:p>
        </w:tc>
        <w:tc>
          <w:tcPr>
            <w:tcW w:w="1058" w:type="dxa"/>
            <w:tcBorders>
              <w:top w:val="nil"/>
            </w:tcBorders>
            <w:noWrap w:val="0"/>
            <w:vAlign w:val="center"/>
          </w:tcPr>
          <w:p w14:paraId="1E4336EA">
            <w:pPr>
              <w:pStyle w:val="16"/>
              <w:keepNext/>
              <w:spacing w:after="0" w:line="440" w:lineRule="exact"/>
              <w:ind w:left="63" w:right="63"/>
              <w:rPr>
                <w:rFonts w:eastAsia="仿宋_GB2312"/>
                <w:color w:val="000000"/>
                <w:kern w:val="2"/>
                <w:sz w:val="30"/>
                <w:szCs w:val="30"/>
                <w:lang w:val="en-US" w:eastAsia="zh-CN"/>
              </w:rPr>
            </w:pPr>
          </w:p>
        </w:tc>
        <w:tc>
          <w:tcPr>
            <w:tcW w:w="880" w:type="dxa"/>
            <w:tcBorders>
              <w:top w:val="nil"/>
            </w:tcBorders>
            <w:noWrap w:val="0"/>
            <w:vAlign w:val="center"/>
          </w:tcPr>
          <w:p w14:paraId="5EB7DE1A">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01AD60A9">
            <w:pPr>
              <w:pStyle w:val="16"/>
              <w:keepNext/>
              <w:spacing w:after="0" w:line="440" w:lineRule="exact"/>
              <w:ind w:left="63" w:right="63"/>
              <w:rPr>
                <w:rFonts w:eastAsia="仿宋_GB2312"/>
                <w:color w:val="000000"/>
                <w:kern w:val="2"/>
                <w:sz w:val="30"/>
                <w:szCs w:val="30"/>
                <w:lang w:val="en-US" w:eastAsia="zh-CN"/>
              </w:rPr>
            </w:pPr>
          </w:p>
        </w:tc>
        <w:tc>
          <w:tcPr>
            <w:tcW w:w="1480" w:type="dxa"/>
            <w:tcBorders>
              <w:top w:val="nil"/>
            </w:tcBorders>
            <w:noWrap w:val="0"/>
            <w:vAlign w:val="center"/>
          </w:tcPr>
          <w:p w14:paraId="3C09C2CA">
            <w:pPr>
              <w:pStyle w:val="16"/>
              <w:keepNext/>
              <w:spacing w:after="0" w:line="440" w:lineRule="exact"/>
              <w:ind w:left="63" w:right="63"/>
              <w:rPr>
                <w:rFonts w:eastAsia="仿宋_GB2312"/>
                <w:color w:val="000000"/>
                <w:kern w:val="2"/>
                <w:sz w:val="30"/>
                <w:szCs w:val="30"/>
                <w:lang w:val="en-US" w:eastAsia="zh-CN"/>
              </w:rPr>
            </w:pPr>
          </w:p>
        </w:tc>
        <w:tc>
          <w:tcPr>
            <w:tcW w:w="1020" w:type="dxa"/>
            <w:tcBorders>
              <w:top w:val="nil"/>
            </w:tcBorders>
            <w:noWrap w:val="0"/>
            <w:vAlign w:val="center"/>
          </w:tcPr>
          <w:p w14:paraId="3F1F7314">
            <w:pPr>
              <w:pStyle w:val="16"/>
              <w:keepNext/>
              <w:spacing w:after="0" w:line="440" w:lineRule="exact"/>
              <w:ind w:left="63" w:right="63"/>
              <w:rPr>
                <w:rFonts w:eastAsia="仿宋_GB2312"/>
                <w:color w:val="000000"/>
                <w:kern w:val="2"/>
                <w:sz w:val="30"/>
                <w:szCs w:val="30"/>
                <w:lang w:val="en-US" w:eastAsia="zh-CN"/>
              </w:rPr>
            </w:pPr>
          </w:p>
        </w:tc>
        <w:tc>
          <w:tcPr>
            <w:tcW w:w="921" w:type="dxa"/>
            <w:tcBorders>
              <w:top w:val="nil"/>
            </w:tcBorders>
            <w:noWrap w:val="0"/>
            <w:vAlign w:val="center"/>
          </w:tcPr>
          <w:p w14:paraId="7759AB25">
            <w:pPr>
              <w:pStyle w:val="16"/>
              <w:keepNext/>
              <w:spacing w:after="0" w:line="440" w:lineRule="exact"/>
              <w:ind w:left="63" w:right="63"/>
              <w:rPr>
                <w:rFonts w:eastAsia="仿宋_GB2312"/>
                <w:color w:val="000000"/>
                <w:kern w:val="2"/>
                <w:sz w:val="30"/>
                <w:szCs w:val="30"/>
                <w:lang w:val="en-US" w:eastAsia="zh-CN"/>
              </w:rPr>
            </w:pPr>
          </w:p>
        </w:tc>
      </w:tr>
      <w:tr w14:paraId="1FFF71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12976D63">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1A8F52CE">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339FCA0">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72CE8B9D">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39764D1F">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3E61F8AB">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2843FCDD">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62F0429">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77353CB6">
            <w:pPr>
              <w:pStyle w:val="16"/>
              <w:keepNext/>
              <w:spacing w:after="0" w:line="440" w:lineRule="exact"/>
              <w:ind w:left="63" w:right="63"/>
              <w:rPr>
                <w:rFonts w:eastAsia="仿宋_GB2312"/>
                <w:color w:val="000000"/>
                <w:kern w:val="2"/>
                <w:sz w:val="30"/>
                <w:szCs w:val="30"/>
                <w:lang w:val="en-US" w:eastAsia="zh-CN"/>
              </w:rPr>
            </w:pPr>
          </w:p>
        </w:tc>
      </w:tr>
      <w:tr w14:paraId="68E415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411B04E7">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9AA8228">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1CD9FF0">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3B81A325">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6144DD59">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1012AEF">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62CB0509">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4A60B4A">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0AA9108E">
            <w:pPr>
              <w:pStyle w:val="16"/>
              <w:keepNext/>
              <w:spacing w:after="0" w:line="440" w:lineRule="exact"/>
              <w:ind w:left="63" w:right="63"/>
              <w:rPr>
                <w:rFonts w:eastAsia="仿宋_GB2312"/>
                <w:color w:val="000000"/>
                <w:kern w:val="2"/>
                <w:sz w:val="30"/>
                <w:szCs w:val="30"/>
                <w:lang w:val="en-US" w:eastAsia="zh-CN"/>
              </w:rPr>
            </w:pPr>
          </w:p>
        </w:tc>
      </w:tr>
      <w:tr w14:paraId="6E96AF9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5FE92CBB">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6FB93849">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DEC9776">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0CEFCDEC">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75A88946">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B51D3BC">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181A5EE0">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0C00965B">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3AAB3EEE">
            <w:pPr>
              <w:pStyle w:val="16"/>
              <w:keepNext/>
              <w:spacing w:after="0" w:line="440" w:lineRule="exact"/>
              <w:ind w:left="63" w:right="63"/>
              <w:rPr>
                <w:rFonts w:eastAsia="仿宋_GB2312"/>
                <w:color w:val="000000"/>
                <w:kern w:val="2"/>
                <w:sz w:val="30"/>
                <w:szCs w:val="30"/>
                <w:lang w:val="en-US" w:eastAsia="zh-CN"/>
              </w:rPr>
            </w:pPr>
          </w:p>
        </w:tc>
      </w:tr>
      <w:tr w14:paraId="216740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7DD13C00">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47A67F1E">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3EF675DD">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2A4A7223">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3EF4FF89">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EA6CD16">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758A7BF0">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5171FDC9">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50F8629E">
            <w:pPr>
              <w:pStyle w:val="16"/>
              <w:keepNext/>
              <w:spacing w:after="0" w:line="440" w:lineRule="exact"/>
              <w:ind w:left="63" w:right="63"/>
              <w:rPr>
                <w:rFonts w:eastAsia="仿宋_GB2312"/>
                <w:color w:val="000000"/>
                <w:kern w:val="2"/>
                <w:sz w:val="30"/>
                <w:szCs w:val="30"/>
                <w:lang w:val="en-US" w:eastAsia="zh-CN"/>
              </w:rPr>
            </w:pPr>
          </w:p>
        </w:tc>
      </w:tr>
      <w:tr w14:paraId="213CF4B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768766C3">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5D1E378E">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00EBA387">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4BAF3334">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3CAA713C">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7A58846">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0EBB7395">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4AB105D">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507002DC">
            <w:pPr>
              <w:pStyle w:val="16"/>
              <w:keepNext/>
              <w:spacing w:after="0" w:line="440" w:lineRule="exact"/>
              <w:ind w:left="63" w:right="63"/>
              <w:rPr>
                <w:rFonts w:eastAsia="仿宋_GB2312"/>
                <w:color w:val="000000"/>
                <w:kern w:val="2"/>
                <w:sz w:val="30"/>
                <w:szCs w:val="30"/>
                <w:lang w:val="en-US" w:eastAsia="zh-CN"/>
              </w:rPr>
            </w:pPr>
          </w:p>
        </w:tc>
      </w:tr>
      <w:tr w14:paraId="227701C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58ADDB8C">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90333D4">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69243F4">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556B081B">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52032A69">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74C49613">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77ED8472">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67526996">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2508FE2E">
            <w:pPr>
              <w:pStyle w:val="16"/>
              <w:keepNext/>
              <w:spacing w:after="0" w:line="440" w:lineRule="exact"/>
              <w:ind w:left="63" w:right="63"/>
              <w:rPr>
                <w:rFonts w:eastAsia="仿宋_GB2312"/>
                <w:color w:val="000000"/>
                <w:kern w:val="2"/>
                <w:sz w:val="30"/>
                <w:szCs w:val="30"/>
                <w:lang w:val="en-US" w:eastAsia="zh-CN"/>
              </w:rPr>
            </w:pPr>
          </w:p>
        </w:tc>
      </w:tr>
      <w:tr w14:paraId="133996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0C176AB0">
            <w:pPr>
              <w:rPr>
                <w:rFonts w:eastAsia="仿宋_GB2312"/>
                <w:color w:val="000000"/>
                <w:sz w:val="30"/>
                <w:szCs w:val="30"/>
              </w:rPr>
            </w:pPr>
          </w:p>
        </w:tc>
        <w:tc>
          <w:tcPr>
            <w:tcW w:w="1418" w:type="dxa"/>
            <w:noWrap w:val="0"/>
            <w:vAlign w:val="top"/>
          </w:tcPr>
          <w:p w14:paraId="6E2CA92A">
            <w:pPr>
              <w:rPr>
                <w:rFonts w:eastAsia="仿宋_GB2312"/>
                <w:color w:val="000000"/>
                <w:sz w:val="30"/>
                <w:szCs w:val="30"/>
              </w:rPr>
            </w:pPr>
          </w:p>
        </w:tc>
        <w:tc>
          <w:tcPr>
            <w:tcW w:w="850" w:type="dxa"/>
            <w:noWrap w:val="0"/>
            <w:vAlign w:val="top"/>
          </w:tcPr>
          <w:p w14:paraId="2B0BBBBB">
            <w:pPr>
              <w:rPr>
                <w:rFonts w:eastAsia="仿宋_GB2312"/>
                <w:color w:val="000000"/>
                <w:sz w:val="30"/>
                <w:szCs w:val="30"/>
              </w:rPr>
            </w:pPr>
          </w:p>
        </w:tc>
        <w:tc>
          <w:tcPr>
            <w:tcW w:w="1058" w:type="dxa"/>
            <w:noWrap w:val="0"/>
            <w:vAlign w:val="top"/>
          </w:tcPr>
          <w:p w14:paraId="4D4A6F4A">
            <w:pPr>
              <w:rPr>
                <w:rFonts w:eastAsia="仿宋_GB2312"/>
                <w:color w:val="000000"/>
                <w:sz w:val="30"/>
                <w:szCs w:val="30"/>
              </w:rPr>
            </w:pPr>
          </w:p>
        </w:tc>
        <w:tc>
          <w:tcPr>
            <w:tcW w:w="880" w:type="dxa"/>
            <w:noWrap w:val="0"/>
            <w:vAlign w:val="top"/>
          </w:tcPr>
          <w:p w14:paraId="252A434E">
            <w:pPr>
              <w:rPr>
                <w:rFonts w:eastAsia="仿宋_GB2312"/>
                <w:color w:val="000000"/>
                <w:sz w:val="30"/>
                <w:szCs w:val="30"/>
              </w:rPr>
            </w:pPr>
          </w:p>
        </w:tc>
        <w:tc>
          <w:tcPr>
            <w:tcW w:w="1020" w:type="dxa"/>
            <w:noWrap w:val="0"/>
            <w:vAlign w:val="top"/>
          </w:tcPr>
          <w:p w14:paraId="76E26765">
            <w:pPr>
              <w:rPr>
                <w:rFonts w:eastAsia="仿宋_GB2312"/>
                <w:color w:val="000000"/>
                <w:sz w:val="30"/>
                <w:szCs w:val="30"/>
              </w:rPr>
            </w:pPr>
          </w:p>
        </w:tc>
        <w:tc>
          <w:tcPr>
            <w:tcW w:w="1480" w:type="dxa"/>
            <w:noWrap w:val="0"/>
            <w:vAlign w:val="top"/>
          </w:tcPr>
          <w:p w14:paraId="78C6593B">
            <w:pPr>
              <w:rPr>
                <w:rFonts w:eastAsia="仿宋_GB2312"/>
                <w:color w:val="000000"/>
                <w:sz w:val="30"/>
                <w:szCs w:val="30"/>
              </w:rPr>
            </w:pPr>
          </w:p>
        </w:tc>
        <w:tc>
          <w:tcPr>
            <w:tcW w:w="1020" w:type="dxa"/>
            <w:noWrap w:val="0"/>
            <w:vAlign w:val="top"/>
          </w:tcPr>
          <w:p w14:paraId="7BC1F03B">
            <w:pPr>
              <w:rPr>
                <w:rFonts w:eastAsia="仿宋_GB2312"/>
                <w:color w:val="000000"/>
                <w:sz w:val="30"/>
                <w:szCs w:val="30"/>
              </w:rPr>
            </w:pPr>
          </w:p>
        </w:tc>
        <w:tc>
          <w:tcPr>
            <w:tcW w:w="921" w:type="dxa"/>
            <w:noWrap w:val="0"/>
            <w:vAlign w:val="top"/>
          </w:tcPr>
          <w:p w14:paraId="7EB137DE">
            <w:pPr>
              <w:rPr>
                <w:rFonts w:eastAsia="仿宋_GB2312"/>
                <w:color w:val="000000"/>
                <w:sz w:val="30"/>
                <w:szCs w:val="30"/>
              </w:rPr>
            </w:pPr>
          </w:p>
        </w:tc>
      </w:tr>
      <w:tr w14:paraId="251F19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center"/>
          </w:tcPr>
          <w:p w14:paraId="560FF53E">
            <w:pPr>
              <w:pStyle w:val="16"/>
              <w:keepNext/>
              <w:spacing w:after="0" w:line="440" w:lineRule="exact"/>
              <w:ind w:left="63" w:right="63"/>
              <w:rPr>
                <w:rFonts w:eastAsia="仿宋_GB2312"/>
                <w:color w:val="000000"/>
                <w:kern w:val="2"/>
                <w:sz w:val="30"/>
                <w:szCs w:val="30"/>
                <w:lang w:val="en-US" w:eastAsia="zh-CN"/>
              </w:rPr>
            </w:pPr>
          </w:p>
        </w:tc>
        <w:tc>
          <w:tcPr>
            <w:tcW w:w="1418" w:type="dxa"/>
            <w:noWrap w:val="0"/>
            <w:vAlign w:val="center"/>
          </w:tcPr>
          <w:p w14:paraId="259C51D3">
            <w:pPr>
              <w:pStyle w:val="16"/>
              <w:keepNext/>
              <w:spacing w:after="0" w:line="440" w:lineRule="exact"/>
              <w:ind w:left="63" w:right="63"/>
              <w:rPr>
                <w:rFonts w:eastAsia="仿宋_GB2312"/>
                <w:color w:val="000000"/>
                <w:kern w:val="2"/>
                <w:sz w:val="30"/>
                <w:szCs w:val="30"/>
                <w:lang w:val="en-US" w:eastAsia="zh-CN"/>
              </w:rPr>
            </w:pPr>
          </w:p>
        </w:tc>
        <w:tc>
          <w:tcPr>
            <w:tcW w:w="850" w:type="dxa"/>
            <w:noWrap w:val="0"/>
            <w:vAlign w:val="center"/>
          </w:tcPr>
          <w:p w14:paraId="5BEEE3F1">
            <w:pPr>
              <w:pStyle w:val="16"/>
              <w:keepNext/>
              <w:spacing w:after="0" w:line="440" w:lineRule="exact"/>
              <w:ind w:left="63" w:right="63"/>
              <w:rPr>
                <w:rFonts w:eastAsia="仿宋_GB2312"/>
                <w:color w:val="000000"/>
                <w:kern w:val="2"/>
                <w:sz w:val="30"/>
                <w:szCs w:val="30"/>
                <w:lang w:val="en-US" w:eastAsia="zh-CN"/>
              </w:rPr>
            </w:pPr>
          </w:p>
        </w:tc>
        <w:tc>
          <w:tcPr>
            <w:tcW w:w="1058" w:type="dxa"/>
            <w:noWrap w:val="0"/>
            <w:vAlign w:val="center"/>
          </w:tcPr>
          <w:p w14:paraId="096ED3B1">
            <w:pPr>
              <w:pStyle w:val="16"/>
              <w:keepNext/>
              <w:spacing w:after="0" w:line="440" w:lineRule="exact"/>
              <w:ind w:left="63" w:right="63"/>
              <w:rPr>
                <w:rFonts w:eastAsia="仿宋_GB2312"/>
                <w:color w:val="000000"/>
                <w:kern w:val="2"/>
                <w:sz w:val="30"/>
                <w:szCs w:val="30"/>
                <w:lang w:val="en-US" w:eastAsia="zh-CN"/>
              </w:rPr>
            </w:pPr>
          </w:p>
        </w:tc>
        <w:tc>
          <w:tcPr>
            <w:tcW w:w="880" w:type="dxa"/>
            <w:noWrap w:val="0"/>
            <w:vAlign w:val="center"/>
          </w:tcPr>
          <w:p w14:paraId="4A81232F">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5DD9E85">
            <w:pPr>
              <w:pStyle w:val="16"/>
              <w:keepNext/>
              <w:spacing w:after="0" w:line="440" w:lineRule="exact"/>
              <w:ind w:left="63" w:right="63"/>
              <w:rPr>
                <w:rFonts w:eastAsia="仿宋_GB2312"/>
                <w:color w:val="000000"/>
                <w:kern w:val="2"/>
                <w:sz w:val="30"/>
                <w:szCs w:val="30"/>
                <w:lang w:val="en-US" w:eastAsia="zh-CN"/>
              </w:rPr>
            </w:pPr>
          </w:p>
        </w:tc>
        <w:tc>
          <w:tcPr>
            <w:tcW w:w="1480" w:type="dxa"/>
            <w:noWrap w:val="0"/>
            <w:vAlign w:val="center"/>
          </w:tcPr>
          <w:p w14:paraId="66206D8F">
            <w:pPr>
              <w:pStyle w:val="16"/>
              <w:keepNext/>
              <w:spacing w:after="0" w:line="440" w:lineRule="exact"/>
              <w:ind w:left="63" w:right="63"/>
              <w:rPr>
                <w:rFonts w:eastAsia="仿宋_GB2312"/>
                <w:color w:val="000000"/>
                <w:kern w:val="2"/>
                <w:sz w:val="30"/>
                <w:szCs w:val="30"/>
                <w:lang w:val="en-US" w:eastAsia="zh-CN"/>
              </w:rPr>
            </w:pPr>
          </w:p>
        </w:tc>
        <w:tc>
          <w:tcPr>
            <w:tcW w:w="1020" w:type="dxa"/>
            <w:noWrap w:val="0"/>
            <w:vAlign w:val="center"/>
          </w:tcPr>
          <w:p w14:paraId="15D5F1D0">
            <w:pPr>
              <w:pStyle w:val="16"/>
              <w:keepNext/>
              <w:spacing w:after="0" w:line="440" w:lineRule="exact"/>
              <w:ind w:left="63" w:right="63"/>
              <w:rPr>
                <w:rFonts w:eastAsia="仿宋_GB2312"/>
                <w:color w:val="000000"/>
                <w:kern w:val="2"/>
                <w:sz w:val="30"/>
                <w:szCs w:val="30"/>
                <w:lang w:val="en-US" w:eastAsia="zh-CN"/>
              </w:rPr>
            </w:pPr>
          </w:p>
        </w:tc>
        <w:tc>
          <w:tcPr>
            <w:tcW w:w="921" w:type="dxa"/>
            <w:noWrap w:val="0"/>
            <w:vAlign w:val="center"/>
          </w:tcPr>
          <w:p w14:paraId="46126A2F">
            <w:pPr>
              <w:pStyle w:val="16"/>
              <w:keepNext/>
              <w:spacing w:after="0" w:line="440" w:lineRule="exact"/>
              <w:ind w:left="63" w:right="63"/>
              <w:rPr>
                <w:rFonts w:eastAsia="仿宋_GB2312"/>
                <w:color w:val="000000"/>
                <w:kern w:val="2"/>
                <w:sz w:val="30"/>
                <w:szCs w:val="30"/>
                <w:lang w:val="en-US" w:eastAsia="zh-CN"/>
              </w:rPr>
            </w:pPr>
          </w:p>
        </w:tc>
      </w:tr>
      <w:tr w14:paraId="652F6A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155F5372">
            <w:pPr>
              <w:rPr>
                <w:rFonts w:eastAsia="仿宋_GB2312"/>
                <w:color w:val="000000"/>
                <w:sz w:val="30"/>
                <w:szCs w:val="30"/>
              </w:rPr>
            </w:pPr>
          </w:p>
        </w:tc>
        <w:tc>
          <w:tcPr>
            <w:tcW w:w="1418" w:type="dxa"/>
            <w:noWrap w:val="0"/>
            <w:vAlign w:val="top"/>
          </w:tcPr>
          <w:p w14:paraId="5E834EAC">
            <w:pPr>
              <w:rPr>
                <w:rFonts w:eastAsia="仿宋_GB2312"/>
                <w:color w:val="000000"/>
                <w:sz w:val="30"/>
                <w:szCs w:val="30"/>
              </w:rPr>
            </w:pPr>
          </w:p>
        </w:tc>
        <w:tc>
          <w:tcPr>
            <w:tcW w:w="850" w:type="dxa"/>
            <w:noWrap w:val="0"/>
            <w:vAlign w:val="top"/>
          </w:tcPr>
          <w:p w14:paraId="5352B6D7">
            <w:pPr>
              <w:rPr>
                <w:rFonts w:eastAsia="仿宋_GB2312"/>
                <w:color w:val="000000"/>
                <w:sz w:val="30"/>
                <w:szCs w:val="30"/>
              </w:rPr>
            </w:pPr>
          </w:p>
        </w:tc>
        <w:tc>
          <w:tcPr>
            <w:tcW w:w="1058" w:type="dxa"/>
            <w:noWrap w:val="0"/>
            <w:vAlign w:val="top"/>
          </w:tcPr>
          <w:p w14:paraId="365105D6">
            <w:pPr>
              <w:rPr>
                <w:rFonts w:eastAsia="仿宋_GB2312"/>
                <w:color w:val="000000"/>
                <w:sz w:val="30"/>
                <w:szCs w:val="30"/>
              </w:rPr>
            </w:pPr>
          </w:p>
        </w:tc>
        <w:tc>
          <w:tcPr>
            <w:tcW w:w="880" w:type="dxa"/>
            <w:noWrap w:val="0"/>
            <w:vAlign w:val="top"/>
          </w:tcPr>
          <w:p w14:paraId="7A0D195D">
            <w:pPr>
              <w:rPr>
                <w:rFonts w:eastAsia="仿宋_GB2312"/>
                <w:color w:val="000000"/>
                <w:sz w:val="30"/>
                <w:szCs w:val="30"/>
              </w:rPr>
            </w:pPr>
          </w:p>
        </w:tc>
        <w:tc>
          <w:tcPr>
            <w:tcW w:w="1020" w:type="dxa"/>
            <w:noWrap w:val="0"/>
            <w:vAlign w:val="top"/>
          </w:tcPr>
          <w:p w14:paraId="036FD331">
            <w:pPr>
              <w:rPr>
                <w:rFonts w:eastAsia="仿宋_GB2312"/>
                <w:color w:val="000000"/>
                <w:sz w:val="30"/>
                <w:szCs w:val="30"/>
              </w:rPr>
            </w:pPr>
          </w:p>
        </w:tc>
        <w:tc>
          <w:tcPr>
            <w:tcW w:w="1480" w:type="dxa"/>
            <w:noWrap w:val="0"/>
            <w:vAlign w:val="top"/>
          </w:tcPr>
          <w:p w14:paraId="2CB5387B">
            <w:pPr>
              <w:rPr>
                <w:rFonts w:eastAsia="仿宋_GB2312"/>
                <w:color w:val="000000"/>
                <w:sz w:val="30"/>
                <w:szCs w:val="30"/>
              </w:rPr>
            </w:pPr>
          </w:p>
        </w:tc>
        <w:tc>
          <w:tcPr>
            <w:tcW w:w="1020" w:type="dxa"/>
            <w:noWrap w:val="0"/>
            <w:vAlign w:val="top"/>
          </w:tcPr>
          <w:p w14:paraId="00E985A8">
            <w:pPr>
              <w:rPr>
                <w:rFonts w:eastAsia="仿宋_GB2312"/>
                <w:color w:val="000000"/>
                <w:sz w:val="30"/>
                <w:szCs w:val="30"/>
              </w:rPr>
            </w:pPr>
          </w:p>
        </w:tc>
        <w:tc>
          <w:tcPr>
            <w:tcW w:w="921" w:type="dxa"/>
            <w:noWrap w:val="0"/>
            <w:vAlign w:val="top"/>
          </w:tcPr>
          <w:p w14:paraId="471CE1F3">
            <w:pPr>
              <w:rPr>
                <w:rFonts w:eastAsia="仿宋_GB2312"/>
                <w:color w:val="000000"/>
                <w:sz w:val="30"/>
                <w:szCs w:val="30"/>
              </w:rPr>
            </w:pPr>
          </w:p>
        </w:tc>
      </w:tr>
      <w:tr w14:paraId="098DE00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48842721">
            <w:pPr>
              <w:rPr>
                <w:rFonts w:eastAsia="仿宋_GB2312"/>
                <w:color w:val="000000"/>
                <w:sz w:val="30"/>
                <w:szCs w:val="30"/>
              </w:rPr>
            </w:pPr>
          </w:p>
        </w:tc>
        <w:tc>
          <w:tcPr>
            <w:tcW w:w="1418" w:type="dxa"/>
            <w:noWrap w:val="0"/>
            <w:vAlign w:val="top"/>
          </w:tcPr>
          <w:p w14:paraId="66154292">
            <w:pPr>
              <w:rPr>
                <w:rFonts w:eastAsia="仿宋_GB2312"/>
                <w:color w:val="000000"/>
                <w:sz w:val="30"/>
                <w:szCs w:val="30"/>
              </w:rPr>
            </w:pPr>
          </w:p>
        </w:tc>
        <w:tc>
          <w:tcPr>
            <w:tcW w:w="850" w:type="dxa"/>
            <w:noWrap w:val="0"/>
            <w:vAlign w:val="top"/>
          </w:tcPr>
          <w:p w14:paraId="072CBD19">
            <w:pPr>
              <w:rPr>
                <w:rFonts w:eastAsia="仿宋_GB2312"/>
                <w:color w:val="000000"/>
                <w:sz w:val="30"/>
                <w:szCs w:val="30"/>
              </w:rPr>
            </w:pPr>
          </w:p>
        </w:tc>
        <w:tc>
          <w:tcPr>
            <w:tcW w:w="1058" w:type="dxa"/>
            <w:noWrap w:val="0"/>
            <w:vAlign w:val="top"/>
          </w:tcPr>
          <w:p w14:paraId="79E4AD19">
            <w:pPr>
              <w:rPr>
                <w:rFonts w:eastAsia="仿宋_GB2312"/>
                <w:color w:val="000000"/>
                <w:sz w:val="30"/>
                <w:szCs w:val="30"/>
              </w:rPr>
            </w:pPr>
          </w:p>
        </w:tc>
        <w:tc>
          <w:tcPr>
            <w:tcW w:w="880" w:type="dxa"/>
            <w:noWrap w:val="0"/>
            <w:vAlign w:val="top"/>
          </w:tcPr>
          <w:p w14:paraId="35ADD812">
            <w:pPr>
              <w:rPr>
                <w:rFonts w:eastAsia="仿宋_GB2312"/>
                <w:color w:val="000000"/>
                <w:sz w:val="30"/>
                <w:szCs w:val="30"/>
              </w:rPr>
            </w:pPr>
          </w:p>
        </w:tc>
        <w:tc>
          <w:tcPr>
            <w:tcW w:w="1020" w:type="dxa"/>
            <w:noWrap w:val="0"/>
            <w:vAlign w:val="top"/>
          </w:tcPr>
          <w:p w14:paraId="66505CC5">
            <w:pPr>
              <w:rPr>
                <w:rFonts w:eastAsia="仿宋_GB2312"/>
                <w:color w:val="000000"/>
                <w:sz w:val="30"/>
                <w:szCs w:val="30"/>
              </w:rPr>
            </w:pPr>
          </w:p>
        </w:tc>
        <w:tc>
          <w:tcPr>
            <w:tcW w:w="1480" w:type="dxa"/>
            <w:noWrap w:val="0"/>
            <w:vAlign w:val="top"/>
          </w:tcPr>
          <w:p w14:paraId="73D53CE5">
            <w:pPr>
              <w:rPr>
                <w:rFonts w:eastAsia="仿宋_GB2312"/>
                <w:color w:val="000000"/>
                <w:sz w:val="30"/>
                <w:szCs w:val="30"/>
              </w:rPr>
            </w:pPr>
          </w:p>
        </w:tc>
        <w:tc>
          <w:tcPr>
            <w:tcW w:w="1020" w:type="dxa"/>
            <w:noWrap w:val="0"/>
            <w:vAlign w:val="top"/>
          </w:tcPr>
          <w:p w14:paraId="54DB3B75">
            <w:pPr>
              <w:rPr>
                <w:rFonts w:eastAsia="仿宋_GB2312"/>
                <w:color w:val="000000"/>
                <w:sz w:val="30"/>
                <w:szCs w:val="30"/>
              </w:rPr>
            </w:pPr>
          </w:p>
        </w:tc>
        <w:tc>
          <w:tcPr>
            <w:tcW w:w="921" w:type="dxa"/>
            <w:noWrap w:val="0"/>
            <w:vAlign w:val="top"/>
          </w:tcPr>
          <w:p w14:paraId="63676AD7">
            <w:pPr>
              <w:rPr>
                <w:rFonts w:eastAsia="仿宋_GB2312"/>
                <w:color w:val="000000"/>
                <w:sz w:val="30"/>
                <w:szCs w:val="30"/>
              </w:rPr>
            </w:pPr>
          </w:p>
        </w:tc>
      </w:tr>
      <w:tr w14:paraId="165A4FC6">
        <w:tblPrEx>
          <w:tblCellMar>
            <w:top w:w="0" w:type="dxa"/>
            <w:left w:w="28" w:type="dxa"/>
            <w:bottom w:w="0" w:type="dxa"/>
            <w:right w:w="28" w:type="dxa"/>
          </w:tblCellMar>
        </w:tblPrEx>
        <w:trPr>
          <w:wBefore w:w="0" w:type="dxa"/>
          <w:trHeight w:val="567" w:hRule="atLeast"/>
          <w:jc w:val="center"/>
        </w:trPr>
        <w:tc>
          <w:tcPr>
            <w:tcW w:w="1162" w:type="dxa"/>
            <w:noWrap w:val="0"/>
            <w:vAlign w:val="top"/>
          </w:tcPr>
          <w:p w14:paraId="38205A90">
            <w:pPr>
              <w:rPr>
                <w:rFonts w:eastAsia="仿宋_GB2312"/>
                <w:color w:val="000000"/>
                <w:sz w:val="30"/>
                <w:szCs w:val="30"/>
              </w:rPr>
            </w:pPr>
          </w:p>
        </w:tc>
        <w:tc>
          <w:tcPr>
            <w:tcW w:w="1418" w:type="dxa"/>
            <w:noWrap w:val="0"/>
            <w:vAlign w:val="top"/>
          </w:tcPr>
          <w:p w14:paraId="5754AFA2">
            <w:pPr>
              <w:rPr>
                <w:rFonts w:eastAsia="仿宋_GB2312"/>
                <w:color w:val="000000"/>
                <w:sz w:val="30"/>
                <w:szCs w:val="30"/>
              </w:rPr>
            </w:pPr>
          </w:p>
        </w:tc>
        <w:tc>
          <w:tcPr>
            <w:tcW w:w="850" w:type="dxa"/>
            <w:noWrap w:val="0"/>
            <w:vAlign w:val="top"/>
          </w:tcPr>
          <w:p w14:paraId="6E33F12C">
            <w:pPr>
              <w:rPr>
                <w:rFonts w:eastAsia="仿宋_GB2312"/>
                <w:color w:val="000000"/>
                <w:sz w:val="30"/>
                <w:szCs w:val="30"/>
              </w:rPr>
            </w:pPr>
          </w:p>
        </w:tc>
        <w:tc>
          <w:tcPr>
            <w:tcW w:w="1058" w:type="dxa"/>
            <w:noWrap w:val="0"/>
            <w:vAlign w:val="top"/>
          </w:tcPr>
          <w:p w14:paraId="37F79D1B">
            <w:pPr>
              <w:rPr>
                <w:rFonts w:eastAsia="仿宋_GB2312"/>
                <w:color w:val="000000"/>
                <w:sz w:val="30"/>
                <w:szCs w:val="30"/>
              </w:rPr>
            </w:pPr>
          </w:p>
        </w:tc>
        <w:tc>
          <w:tcPr>
            <w:tcW w:w="880" w:type="dxa"/>
            <w:noWrap w:val="0"/>
            <w:vAlign w:val="top"/>
          </w:tcPr>
          <w:p w14:paraId="2E1A4E0D">
            <w:pPr>
              <w:rPr>
                <w:rFonts w:eastAsia="仿宋_GB2312"/>
                <w:color w:val="000000"/>
                <w:sz w:val="30"/>
                <w:szCs w:val="30"/>
              </w:rPr>
            </w:pPr>
          </w:p>
        </w:tc>
        <w:tc>
          <w:tcPr>
            <w:tcW w:w="1020" w:type="dxa"/>
            <w:noWrap w:val="0"/>
            <w:vAlign w:val="top"/>
          </w:tcPr>
          <w:p w14:paraId="0A454ACA">
            <w:pPr>
              <w:rPr>
                <w:rFonts w:eastAsia="仿宋_GB2312"/>
                <w:color w:val="000000"/>
                <w:sz w:val="30"/>
                <w:szCs w:val="30"/>
              </w:rPr>
            </w:pPr>
          </w:p>
        </w:tc>
        <w:tc>
          <w:tcPr>
            <w:tcW w:w="1480" w:type="dxa"/>
            <w:noWrap w:val="0"/>
            <w:vAlign w:val="top"/>
          </w:tcPr>
          <w:p w14:paraId="5D8BA95F">
            <w:pPr>
              <w:rPr>
                <w:rFonts w:eastAsia="仿宋_GB2312"/>
                <w:color w:val="000000"/>
                <w:sz w:val="30"/>
                <w:szCs w:val="30"/>
              </w:rPr>
            </w:pPr>
          </w:p>
        </w:tc>
        <w:tc>
          <w:tcPr>
            <w:tcW w:w="1020" w:type="dxa"/>
            <w:noWrap w:val="0"/>
            <w:vAlign w:val="top"/>
          </w:tcPr>
          <w:p w14:paraId="3FE04978">
            <w:pPr>
              <w:rPr>
                <w:rFonts w:eastAsia="仿宋_GB2312"/>
                <w:color w:val="000000"/>
                <w:sz w:val="30"/>
                <w:szCs w:val="30"/>
              </w:rPr>
            </w:pPr>
          </w:p>
        </w:tc>
        <w:tc>
          <w:tcPr>
            <w:tcW w:w="921" w:type="dxa"/>
            <w:noWrap w:val="0"/>
            <w:vAlign w:val="top"/>
          </w:tcPr>
          <w:p w14:paraId="4B97BB1E">
            <w:pPr>
              <w:rPr>
                <w:rFonts w:eastAsia="仿宋_GB2312"/>
                <w:color w:val="000000"/>
                <w:sz w:val="30"/>
                <w:szCs w:val="30"/>
              </w:rPr>
            </w:pPr>
          </w:p>
        </w:tc>
      </w:tr>
      <w:tr w14:paraId="28DFE8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6B1D397B">
            <w:pPr>
              <w:rPr>
                <w:rFonts w:eastAsia="仿宋_GB2312"/>
                <w:color w:val="000000"/>
                <w:sz w:val="30"/>
                <w:szCs w:val="30"/>
              </w:rPr>
            </w:pPr>
          </w:p>
        </w:tc>
        <w:tc>
          <w:tcPr>
            <w:tcW w:w="1418" w:type="dxa"/>
            <w:noWrap w:val="0"/>
            <w:vAlign w:val="top"/>
          </w:tcPr>
          <w:p w14:paraId="180ED739">
            <w:pPr>
              <w:rPr>
                <w:rFonts w:eastAsia="仿宋_GB2312"/>
                <w:color w:val="000000"/>
                <w:sz w:val="30"/>
                <w:szCs w:val="30"/>
              </w:rPr>
            </w:pPr>
          </w:p>
        </w:tc>
        <w:tc>
          <w:tcPr>
            <w:tcW w:w="850" w:type="dxa"/>
            <w:noWrap w:val="0"/>
            <w:vAlign w:val="top"/>
          </w:tcPr>
          <w:p w14:paraId="54B79379">
            <w:pPr>
              <w:rPr>
                <w:rFonts w:eastAsia="仿宋_GB2312"/>
                <w:color w:val="000000"/>
                <w:sz w:val="30"/>
                <w:szCs w:val="30"/>
              </w:rPr>
            </w:pPr>
          </w:p>
        </w:tc>
        <w:tc>
          <w:tcPr>
            <w:tcW w:w="1058" w:type="dxa"/>
            <w:noWrap w:val="0"/>
            <w:vAlign w:val="top"/>
          </w:tcPr>
          <w:p w14:paraId="7D960F9D">
            <w:pPr>
              <w:rPr>
                <w:rFonts w:eastAsia="仿宋_GB2312"/>
                <w:color w:val="000000"/>
                <w:sz w:val="30"/>
                <w:szCs w:val="30"/>
              </w:rPr>
            </w:pPr>
          </w:p>
        </w:tc>
        <w:tc>
          <w:tcPr>
            <w:tcW w:w="880" w:type="dxa"/>
            <w:noWrap w:val="0"/>
            <w:vAlign w:val="top"/>
          </w:tcPr>
          <w:p w14:paraId="4D3B676C">
            <w:pPr>
              <w:rPr>
                <w:rFonts w:eastAsia="仿宋_GB2312"/>
                <w:color w:val="000000"/>
                <w:sz w:val="30"/>
                <w:szCs w:val="30"/>
              </w:rPr>
            </w:pPr>
          </w:p>
        </w:tc>
        <w:tc>
          <w:tcPr>
            <w:tcW w:w="1020" w:type="dxa"/>
            <w:noWrap w:val="0"/>
            <w:vAlign w:val="top"/>
          </w:tcPr>
          <w:p w14:paraId="119A7B4B">
            <w:pPr>
              <w:rPr>
                <w:rFonts w:eastAsia="仿宋_GB2312"/>
                <w:color w:val="000000"/>
                <w:sz w:val="30"/>
                <w:szCs w:val="30"/>
              </w:rPr>
            </w:pPr>
          </w:p>
        </w:tc>
        <w:tc>
          <w:tcPr>
            <w:tcW w:w="1480" w:type="dxa"/>
            <w:noWrap w:val="0"/>
            <w:vAlign w:val="top"/>
          </w:tcPr>
          <w:p w14:paraId="0DF42BB2">
            <w:pPr>
              <w:rPr>
                <w:rFonts w:eastAsia="仿宋_GB2312"/>
                <w:color w:val="000000"/>
                <w:sz w:val="30"/>
                <w:szCs w:val="30"/>
              </w:rPr>
            </w:pPr>
          </w:p>
        </w:tc>
        <w:tc>
          <w:tcPr>
            <w:tcW w:w="1020" w:type="dxa"/>
            <w:noWrap w:val="0"/>
            <w:vAlign w:val="top"/>
          </w:tcPr>
          <w:p w14:paraId="64D26498">
            <w:pPr>
              <w:rPr>
                <w:rFonts w:eastAsia="仿宋_GB2312"/>
                <w:color w:val="000000"/>
                <w:sz w:val="30"/>
                <w:szCs w:val="30"/>
              </w:rPr>
            </w:pPr>
          </w:p>
        </w:tc>
        <w:tc>
          <w:tcPr>
            <w:tcW w:w="921" w:type="dxa"/>
            <w:noWrap w:val="0"/>
            <w:vAlign w:val="top"/>
          </w:tcPr>
          <w:p w14:paraId="218EA167">
            <w:pPr>
              <w:rPr>
                <w:rFonts w:eastAsia="仿宋_GB2312"/>
                <w:color w:val="000000"/>
                <w:sz w:val="30"/>
                <w:szCs w:val="30"/>
              </w:rPr>
            </w:pPr>
          </w:p>
        </w:tc>
      </w:tr>
      <w:tr w14:paraId="4FDF12A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66C0C141">
            <w:pPr>
              <w:rPr>
                <w:rFonts w:eastAsia="仿宋_GB2312"/>
                <w:color w:val="000000"/>
                <w:sz w:val="30"/>
                <w:szCs w:val="30"/>
              </w:rPr>
            </w:pPr>
          </w:p>
        </w:tc>
        <w:tc>
          <w:tcPr>
            <w:tcW w:w="1418" w:type="dxa"/>
            <w:noWrap w:val="0"/>
            <w:vAlign w:val="top"/>
          </w:tcPr>
          <w:p w14:paraId="6ADBBA6E">
            <w:pPr>
              <w:rPr>
                <w:rFonts w:eastAsia="仿宋_GB2312"/>
                <w:color w:val="000000"/>
                <w:sz w:val="30"/>
                <w:szCs w:val="30"/>
              </w:rPr>
            </w:pPr>
          </w:p>
        </w:tc>
        <w:tc>
          <w:tcPr>
            <w:tcW w:w="850" w:type="dxa"/>
            <w:noWrap w:val="0"/>
            <w:vAlign w:val="top"/>
          </w:tcPr>
          <w:p w14:paraId="1431C450">
            <w:pPr>
              <w:rPr>
                <w:rFonts w:eastAsia="仿宋_GB2312"/>
                <w:color w:val="000000"/>
                <w:sz w:val="30"/>
                <w:szCs w:val="30"/>
              </w:rPr>
            </w:pPr>
          </w:p>
        </w:tc>
        <w:tc>
          <w:tcPr>
            <w:tcW w:w="1058" w:type="dxa"/>
            <w:noWrap w:val="0"/>
            <w:vAlign w:val="top"/>
          </w:tcPr>
          <w:p w14:paraId="5D0032D0">
            <w:pPr>
              <w:rPr>
                <w:rFonts w:eastAsia="仿宋_GB2312"/>
                <w:color w:val="000000"/>
                <w:sz w:val="30"/>
                <w:szCs w:val="30"/>
              </w:rPr>
            </w:pPr>
          </w:p>
        </w:tc>
        <w:tc>
          <w:tcPr>
            <w:tcW w:w="880" w:type="dxa"/>
            <w:noWrap w:val="0"/>
            <w:vAlign w:val="top"/>
          </w:tcPr>
          <w:p w14:paraId="230A7C31">
            <w:pPr>
              <w:rPr>
                <w:rFonts w:eastAsia="仿宋_GB2312"/>
                <w:color w:val="000000"/>
                <w:sz w:val="30"/>
                <w:szCs w:val="30"/>
              </w:rPr>
            </w:pPr>
          </w:p>
        </w:tc>
        <w:tc>
          <w:tcPr>
            <w:tcW w:w="1020" w:type="dxa"/>
            <w:noWrap w:val="0"/>
            <w:vAlign w:val="top"/>
          </w:tcPr>
          <w:p w14:paraId="538566A9">
            <w:pPr>
              <w:rPr>
                <w:rFonts w:eastAsia="仿宋_GB2312"/>
                <w:color w:val="000000"/>
                <w:sz w:val="30"/>
                <w:szCs w:val="30"/>
              </w:rPr>
            </w:pPr>
          </w:p>
        </w:tc>
        <w:tc>
          <w:tcPr>
            <w:tcW w:w="1480" w:type="dxa"/>
            <w:noWrap w:val="0"/>
            <w:vAlign w:val="top"/>
          </w:tcPr>
          <w:p w14:paraId="487D22AE">
            <w:pPr>
              <w:rPr>
                <w:rFonts w:eastAsia="仿宋_GB2312"/>
                <w:color w:val="000000"/>
                <w:sz w:val="30"/>
                <w:szCs w:val="30"/>
              </w:rPr>
            </w:pPr>
          </w:p>
        </w:tc>
        <w:tc>
          <w:tcPr>
            <w:tcW w:w="1020" w:type="dxa"/>
            <w:noWrap w:val="0"/>
            <w:vAlign w:val="top"/>
          </w:tcPr>
          <w:p w14:paraId="341AB112">
            <w:pPr>
              <w:rPr>
                <w:rFonts w:eastAsia="仿宋_GB2312"/>
                <w:color w:val="000000"/>
                <w:sz w:val="30"/>
                <w:szCs w:val="30"/>
              </w:rPr>
            </w:pPr>
          </w:p>
        </w:tc>
        <w:tc>
          <w:tcPr>
            <w:tcW w:w="921" w:type="dxa"/>
            <w:noWrap w:val="0"/>
            <w:vAlign w:val="top"/>
          </w:tcPr>
          <w:p w14:paraId="77C41556">
            <w:pPr>
              <w:rPr>
                <w:rFonts w:eastAsia="仿宋_GB2312"/>
                <w:color w:val="000000"/>
                <w:sz w:val="30"/>
                <w:szCs w:val="30"/>
              </w:rPr>
            </w:pPr>
          </w:p>
        </w:tc>
      </w:tr>
      <w:tr w14:paraId="04B3BF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26DC2CF6">
            <w:pPr>
              <w:rPr>
                <w:rFonts w:eastAsia="仿宋_GB2312"/>
                <w:color w:val="000000"/>
                <w:sz w:val="30"/>
                <w:szCs w:val="30"/>
              </w:rPr>
            </w:pPr>
          </w:p>
        </w:tc>
        <w:tc>
          <w:tcPr>
            <w:tcW w:w="1418" w:type="dxa"/>
            <w:noWrap w:val="0"/>
            <w:vAlign w:val="top"/>
          </w:tcPr>
          <w:p w14:paraId="79FD7212">
            <w:pPr>
              <w:rPr>
                <w:rFonts w:eastAsia="仿宋_GB2312"/>
                <w:color w:val="000000"/>
                <w:sz w:val="30"/>
                <w:szCs w:val="30"/>
              </w:rPr>
            </w:pPr>
          </w:p>
        </w:tc>
        <w:tc>
          <w:tcPr>
            <w:tcW w:w="850" w:type="dxa"/>
            <w:noWrap w:val="0"/>
            <w:vAlign w:val="top"/>
          </w:tcPr>
          <w:p w14:paraId="781AD0FB">
            <w:pPr>
              <w:rPr>
                <w:rFonts w:eastAsia="仿宋_GB2312"/>
                <w:color w:val="000000"/>
                <w:sz w:val="30"/>
                <w:szCs w:val="30"/>
              </w:rPr>
            </w:pPr>
          </w:p>
        </w:tc>
        <w:tc>
          <w:tcPr>
            <w:tcW w:w="1058" w:type="dxa"/>
            <w:noWrap w:val="0"/>
            <w:vAlign w:val="top"/>
          </w:tcPr>
          <w:p w14:paraId="59A4FE3C">
            <w:pPr>
              <w:rPr>
                <w:rFonts w:eastAsia="仿宋_GB2312"/>
                <w:color w:val="000000"/>
                <w:sz w:val="30"/>
                <w:szCs w:val="30"/>
              </w:rPr>
            </w:pPr>
          </w:p>
        </w:tc>
        <w:tc>
          <w:tcPr>
            <w:tcW w:w="880" w:type="dxa"/>
            <w:noWrap w:val="0"/>
            <w:vAlign w:val="top"/>
          </w:tcPr>
          <w:p w14:paraId="552A9DE6">
            <w:pPr>
              <w:rPr>
                <w:rFonts w:eastAsia="仿宋_GB2312"/>
                <w:color w:val="000000"/>
                <w:sz w:val="30"/>
                <w:szCs w:val="30"/>
              </w:rPr>
            </w:pPr>
          </w:p>
        </w:tc>
        <w:tc>
          <w:tcPr>
            <w:tcW w:w="1020" w:type="dxa"/>
            <w:noWrap w:val="0"/>
            <w:vAlign w:val="top"/>
          </w:tcPr>
          <w:p w14:paraId="4B5070AB">
            <w:pPr>
              <w:rPr>
                <w:rFonts w:eastAsia="仿宋_GB2312"/>
                <w:color w:val="000000"/>
                <w:sz w:val="30"/>
                <w:szCs w:val="30"/>
              </w:rPr>
            </w:pPr>
          </w:p>
        </w:tc>
        <w:tc>
          <w:tcPr>
            <w:tcW w:w="1480" w:type="dxa"/>
            <w:noWrap w:val="0"/>
            <w:vAlign w:val="top"/>
          </w:tcPr>
          <w:p w14:paraId="02F629A2">
            <w:pPr>
              <w:rPr>
                <w:rFonts w:eastAsia="仿宋_GB2312"/>
                <w:color w:val="000000"/>
                <w:sz w:val="30"/>
                <w:szCs w:val="30"/>
              </w:rPr>
            </w:pPr>
          </w:p>
        </w:tc>
        <w:tc>
          <w:tcPr>
            <w:tcW w:w="1020" w:type="dxa"/>
            <w:noWrap w:val="0"/>
            <w:vAlign w:val="top"/>
          </w:tcPr>
          <w:p w14:paraId="5768F100">
            <w:pPr>
              <w:rPr>
                <w:rFonts w:eastAsia="仿宋_GB2312"/>
                <w:color w:val="000000"/>
                <w:sz w:val="30"/>
                <w:szCs w:val="30"/>
              </w:rPr>
            </w:pPr>
          </w:p>
        </w:tc>
        <w:tc>
          <w:tcPr>
            <w:tcW w:w="921" w:type="dxa"/>
            <w:noWrap w:val="0"/>
            <w:vAlign w:val="top"/>
          </w:tcPr>
          <w:p w14:paraId="3B71BEFC">
            <w:pPr>
              <w:rPr>
                <w:rFonts w:eastAsia="仿宋_GB2312"/>
                <w:color w:val="000000"/>
                <w:sz w:val="30"/>
                <w:szCs w:val="30"/>
              </w:rPr>
            </w:pPr>
          </w:p>
        </w:tc>
      </w:tr>
      <w:tr w14:paraId="314FE7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46FCCB94">
            <w:pPr>
              <w:rPr>
                <w:rFonts w:eastAsia="仿宋_GB2312"/>
                <w:color w:val="000000"/>
                <w:sz w:val="30"/>
                <w:szCs w:val="30"/>
              </w:rPr>
            </w:pPr>
          </w:p>
        </w:tc>
        <w:tc>
          <w:tcPr>
            <w:tcW w:w="1418" w:type="dxa"/>
            <w:noWrap w:val="0"/>
            <w:vAlign w:val="top"/>
          </w:tcPr>
          <w:p w14:paraId="7B7486DD">
            <w:pPr>
              <w:rPr>
                <w:rFonts w:eastAsia="仿宋_GB2312"/>
                <w:color w:val="000000"/>
                <w:sz w:val="30"/>
                <w:szCs w:val="30"/>
              </w:rPr>
            </w:pPr>
          </w:p>
        </w:tc>
        <w:tc>
          <w:tcPr>
            <w:tcW w:w="850" w:type="dxa"/>
            <w:noWrap w:val="0"/>
            <w:vAlign w:val="top"/>
          </w:tcPr>
          <w:p w14:paraId="56906D59">
            <w:pPr>
              <w:rPr>
                <w:rFonts w:eastAsia="仿宋_GB2312"/>
                <w:color w:val="000000"/>
                <w:sz w:val="30"/>
                <w:szCs w:val="30"/>
              </w:rPr>
            </w:pPr>
          </w:p>
        </w:tc>
        <w:tc>
          <w:tcPr>
            <w:tcW w:w="1058" w:type="dxa"/>
            <w:noWrap w:val="0"/>
            <w:vAlign w:val="top"/>
          </w:tcPr>
          <w:p w14:paraId="0FDE05B2">
            <w:pPr>
              <w:rPr>
                <w:rFonts w:eastAsia="仿宋_GB2312"/>
                <w:color w:val="000000"/>
                <w:sz w:val="30"/>
                <w:szCs w:val="30"/>
              </w:rPr>
            </w:pPr>
          </w:p>
        </w:tc>
        <w:tc>
          <w:tcPr>
            <w:tcW w:w="880" w:type="dxa"/>
            <w:noWrap w:val="0"/>
            <w:vAlign w:val="top"/>
          </w:tcPr>
          <w:p w14:paraId="42583EE1">
            <w:pPr>
              <w:rPr>
                <w:rFonts w:eastAsia="仿宋_GB2312"/>
                <w:color w:val="000000"/>
                <w:sz w:val="30"/>
                <w:szCs w:val="30"/>
              </w:rPr>
            </w:pPr>
          </w:p>
        </w:tc>
        <w:tc>
          <w:tcPr>
            <w:tcW w:w="1020" w:type="dxa"/>
            <w:noWrap w:val="0"/>
            <w:vAlign w:val="top"/>
          </w:tcPr>
          <w:p w14:paraId="358FC18B">
            <w:pPr>
              <w:rPr>
                <w:rFonts w:eastAsia="仿宋_GB2312"/>
                <w:color w:val="000000"/>
                <w:sz w:val="30"/>
                <w:szCs w:val="30"/>
              </w:rPr>
            </w:pPr>
          </w:p>
        </w:tc>
        <w:tc>
          <w:tcPr>
            <w:tcW w:w="1480" w:type="dxa"/>
            <w:noWrap w:val="0"/>
            <w:vAlign w:val="top"/>
          </w:tcPr>
          <w:p w14:paraId="72E093CA">
            <w:pPr>
              <w:rPr>
                <w:rFonts w:eastAsia="仿宋_GB2312"/>
                <w:color w:val="000000"/>
                <w:sz w:val="30"/>
                <w:szCs w:val="30"/>
              </w:rPr>
            </w:pPr>
          </w:p>
        </w:tc>
        <w:tc>
          <w:tcPr>
            <w:tcW w:w="1020" w:type="dxa"/>
            <w:noWrap w:val="0"/>
            <w:vAlign w:val="top"/>
          </w:tcPr>
          <w:p w14:paraId="22845E87">
            <w:pPr>
              <w:rPr>
                <w:rFonts w:eastAsia="仿宋_GB2312"/>
                <w:color w:val="000000"/>
                <w:sz w:val="30"/>
                <w:szCs w:val="30"/>
              </w:rPr>
            </w:pPr>
          </w:p>
        </w:tc>
        <w:tc>
          <w:tcPr>
            <w:tcW w:w="921" w:type="dxa"/>
            <w:noWrap w:val="0"/>
            <w:vAlign w:val="top"/>
          </w:tcPr>
          <w:p w14:paraId="4225BE51">
            <w:pPr>
              <w:rPr>
                <w:rFonts w:eastAsia="仿宋_GB2312"/>
                <w:color w:val="000000"/>
                <w:sz w:val="30"/>
                <w:szCs w:val="30"/>
              </w:rPr>
            </w:pPr>
          </w:p>
        </w:tc>
      </w:tr>
      <w:tr w14:paraId="4F1E7FF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56621677">
            <w:pPr>
              <w:rPr>
                <w:rFonts w:eastAsia="仿宋_GB2312"/>
                <w:color w:val="000000"/>
                <w:sz w:val="30"/>
                <w:szCs w:val="30"/>
              </w:rPr>
            </w:pPr>
          </w:p>
        </w:tc>
        <w:tc>
          <w:tcPr>
            <w:tcW w:w="1418" w:type="dxa"/>
            <w:noWrap w:val="0"/>
            <w:vAlign w:val="top"/>
          </w:tcPr>
          <w:p w14:paraId="64A86CF6">
            <w:pPr>
              <w:rPr>
                <w:rFonts w:eastAsia="仿宋_GB2312"/>
                <w:color w:val="000000"/>
                <w:sz w:val="30"/>
                <w:szCs w:val="30"/>
              </w:rPr>
            </w:pPr>
          </w:p>
        </w:tc>
        <w:tc>
          <w:tcPr>
            <w:tcW w:w="850" w:type="dxa"/>
            <w:noWrap w:val="0"/>
            <w:vAlign w:val="top"/>
          </w:tcPr>
          <w:p w14:paraId="3412BBA9">
            <w:pPr>
              <w:rPr>
                <w:rFonts w:eastAsia="仿宋_GB2312"/>
                <w:color w:val="000000"/>
                <w:sz w:val="30"/>
                <w:szCs w:val="30"/>
              </w:rPr>
            </w:pPr>
          </w:p>
        </w:tc>
        <w:tc>
          <w:tcPr>
            <w:tcW w:w="1058" w:type="dxa"/>
            <w:noWrap w:val="0"/>
            <w:vAlign w:val="top"/>
          </w:tcPr>
          <w:p w14:paraId="6A9CD51A">
            <w:pPr>
              <w:rPr>
                <w:rFonts w:eastAsia="仿宋_GB2312"/>
                <w:color w:val="000000"/>
                <w:sz w:val="30"/>
                <w:szCs w:val="30"/>
              </w:rPr>
            </w:pPr>
          </w:p>
        </w:tc>
        <w:tc>
          <w:tcPr>
            <w:tcW w:w="880" w:type="dxa"/>
            <w:noWrap w:val="0"/>
            <w:vAlign w:val="top"/>
          </w:tcPr>
          <w:p w14:paraId="48FEF9DE">
            <w:pPr>
              <w:rPr>
                <w:rFonts w:eastAsia="仿宋_GB2312"/>
                <w:color w:val="000000"/>
                <w:sz w:val="30"/>
                <w:szCs w:val="30"/>
              </w:rPr>
            </w:pPr>
          </w:p>
        </w:tc>
        <w:tc>
          <w:tcPr>
            <w:tcW w:w="1020" w:type="dxa"/>
            <w:noWrap w:val="0"/>
            <w:vAlign w:val="top"/>
          </w:tcPr>
          <w:p w14:paraId="5185A867">
            <w:pPr>
              <w:rPr>
                <w:rFonts w:eastAsia="仿宋_GB2312"/>
                <w:color w:val="000000"/>
                <w:sz w:val="30"/>
                <w:szCs w:val="30"/>
              </w:rPr>
            </w:pPr>
          </w:p>
        </w:tc>
        <w:tc>
          <w:tcPr>
            <w:tcW w:w="1480" w:type="dxa"/>
            <w:noWrap w:val="0"/>
            <w:vAlign w:val="top"/>
          </w:tcPr>
          <w:p w14:paraId="03E665A4">
            <w:pPr>
              <w:rPr>
                <w:rFonts w:eastAsia="仿宋_GB2312"/>
                <w:color w:val="000000"/>
                <w:sz w:val="30"/>
                <w:szCs w:val="30"/>
              </w:rPr>
            </w:pPr>
          </w:p>
        </w:tc>
        <w:tc>
          <w:tcPr>
            <w:tcW w:w="1020" w:type="dxa"/>
            <w:noWrap w:val="0"/>
            <w:vAlign w:val="top"/>
          </w:tcPr>
          <w:p w14:paraId="34122B06">
            <w:pPr>
              <w:rPr>
                <w:rFonts w:eastAsia="仿宋_GB2312"/>
                <w:color w:val="000000"/>
                <w:sz w:val="30"/>
                <w:szCs w:val="30"/>
              </w:rPr>
            </w:pPr>
          </w:p>
        </w:tc>
        <w:tc>
          <w:tcPr>
            <w:tcW w:w="921" w:type="dxa"/>
            <w:noWrap w:val="0"/>
            <w:vAlign w:val="top"/>
          </w:tcPr>
          <w:p w14:paraId="30DA5FA5">
            <w:pPr>
              <w:rPr>
                <w:rFonts w:eastAsia="仿宋_GB2312"/>
                <w:color w:val="000000"/>
                <w:sz w:val="30"/>
                <w:szCs w:val="30"/>
              </w:rPr>
            </w:pPr>
          </w:p>
        </w:tc>
      </w:tr>
      <w:tr w14:paraId="5741437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Height w:val="567" w:hRule="atLeast"/>
          <w:jc w:val="center"/>
        </w:trPr>
        <w:tc>
          <w:tcPr>
            <w:tcW w:w="1162" w:type="dxa"/>
            <w:noWrap w:val="0"/>
            <w:vAlign w:val="top"/>
          </w:tcPr>
          <w:p w14:paraId="0E0D9F88">
            <w:pPr>
              <w:rPr>
                <w:rFonts w:eastAsia="仿宋_GB2312"/>
                <w:color w:val="000000"/>
                <w:sz w:val="30"/>
                <w:szCs w:val="30"/>
              </w:rPr>
            </w:pPr>
          </w:p>
        </w:tc>
        <w:tc>
          <w:tcPr>
            <w:tcW w:w="1418" w:type="dxa"/>
            <w:noWrap w:val="0"/>
            <w:vAlign w:val="top"/>
          </w:tcPr>
          <w:p w14:paraId="07A1460A">
            <w:pPr>
              <w:rPr>
                <w:rFonts w:eastAsia="仿宋_GB2312"/>
                <w:color w:val="000000"/>
                <w:sz w:val="30"/>
                <w:szCs w:val="30"/>
              </w:rPr>
            </w:pPr>
          </w:p>
        </w:tc>
        <w:tc>
          <w:tcPr>
            <w:tcW w:w="850" w:type="dxa"/>
            <w:noWrap w:val="0"/>
            <w:vAlign w:val="top"/>
          </w:tcPr>
          <w:p w14:paraId="4C3C3476">
            <w:pPr>
              <w:rPr>
                <w:rFonts w:eastAsia="仿宋_GB2312"/>
                <w:color w:val="000000"/>
                <w:sz w:val="30"/>
                <w:szCs w:val="30"/>
              </w:rPr>
            </w:pPr>
          </w:p>
        </w:tc>
        <w:tc>
          <w:tcPr>
            <w:tcW w:w="1058" w:type="dxa"/>
            <w:noWrap w:val="0"/>
            <w:vAlign w:val="top"/>
          </w:tcPr>
          <w:p w14:paraId="2BA7A92E">
            <w:pPr>
              <w:rPr>
                <w:rFonts w:eastAsia="仿宋_GB2312"/>
                <w:color w:val="000000"/>
                <w:sz w:val="30"/>
                <w:szCs w:val="30"/>
              </w:rPr>
            </w:pPr>
          </w:p>
        </w:tc>
        <w:tc>
          <w:tcPr>
            <w:tcW w:w="880" w:type="dxa"/>
            <w:noWrap w:val="0"/>
            <w:vAlign w:val="top"/>
          </w:tcPr>
          <w:p w14:paraId="261181D8">
            <w:pPr>
              <w:rPr>
                <w:rFonts w:eastAsia="仿宋_GB2312"/>
                <w:color w:val="000000"/>
                <w:sz w:val="30"/>
                <w:szCs w:val="30"/>
              </w:rPr>
            </w:pPr>
          </w:p>
        </w:tc>
        <w:tc>
          <w:tcPr>
            <w:tcW w:w="1020" w:type="dxa"/>
            <w:noWrap w:val="0"/>
            <w:vAlign w:val="top"/>
          </w:tcPr>
          <w:p w14:paraId="6D92F2BA">
            <w:pPr>
              <w:rPr>
                <w:rFonts w:eastAsia="仿宋_GB2312"/>
                <w:color w:val="000000"/>
                <w:sz w:val="30"/>
                <w:szCs w:val="30"/>
              </w:rPr>
            </w:pPr>
          </w:p>
        </w:tc>
        <w:tc>
          <w:tcPr>
            <w:tcW w:w="1480" w:type="dxa"/>
            <w:noWrap w:val="0"/>
            <w:vAlign w:val="top"/>
          </w:tcPr>
          <w:p w14:paraId="5D6B68C6">
            <w:pPr>
              <w:rPr>
                <w:rFonts w:eastAsia="仿宋_GB2312"/>
                <w:color w:val="000000"/>
                <w:sz w:val="30"/>
                <w:szCs w:val="30"/>
              </w:rPr>
            </w:pPr>
          </w:p>
        </w:tc>
        <w:tc>
          <w:tcPr>
            <w:tcW w:w="1020" w:type="dxa"/>
            <w:noWrap w:val="0"/>
            <w:vAlign w:val="top"/>
          </w:tcPr>
          <w:p w14:paraId="0BE3798D">
            <w:pPr>
              <w:rPr>
                <w:rFonts w:eastAsia="仿宋_GB2312"/>
                <w:color w:val="000000"/>
                <w:sz w:val="30"/>
                <w:szCs w:val="30"/>
              </w:rPr>
            </w:pPr>
          </w:p>
        </w:tc>
        <w:tc>
          <w:tcPr>
            <w:tcW w:w="921" w:type="dxa"/>
            <w:noWrap w:val="0"/>
            <w:vAlign w:val="top"/>
          </w:tcPr>
          <w:p w14:paraId="18A2FFAF">
            <w:pPr>
              <w:rPr>
                <w:rFonts w:eastAsia="仿宋_GB2312"/>
                <w:color w:val="000000"/>
                <w:sz w:val="30"/>
                <w:szCs w:val="30"/>
              </w:rPr>
            </w:pPr>
          </w:p>
        </w:tc>
      </w:tr>
    </w:tbl>
    <w:p w14:paraId="6550A16A">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06" w:name="_Toc296891056"/>
      <w:bookmarkStart w:id="1007" w:name="_Toc296346729"/>
      <w:bookmarkStart w:id="1008" w:name="_Toc296503228"/>
      <w:bookmarkStart w:id="1009" w:name="_Toc296891268"/>
      <w:bookmarkStart w:id="1010" w:name="_Toc267261699"/>
      <w:bookmarkStart w:id="1011" w:name="_Toc296347227"/>
      <w:bookmarkStart w:id="1012" w:name="_Toc296944567"/>
      <w:r>
        <w:rPr>
          <w:rFonts w:ascii="Times New Roman" w:hAnsi="Times New Roman" w:eastAsia="仿宋_GB2312"/>
          <w:color w:val="000000"/>
          <w:sz w:val="30"/>
          <w:szCs w:val="30"/>
        </w:rPr>
        <w:t>件6：</w:t>
      </w:r>
    </w:p>
    <w:bookmarkEnd w:id="1006"/>
    <w:bookmarkEnd w:id="1007"/>
    <w:bookmarkEnd w:id="1008"/>
    <w:bookmarkEnd w:id="1009"/>
    <w:bookmarkEnd w:id="1010"/>
    <w:bookmarkEnd w:id="1011"/>
    <w:bookmarkEnd w:id="1012"/>
    <w:p w14:paraId="73372AB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承包人主要施工管理人员表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1437F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12" w:space="0"/>
              <w:bottom w:val="double" w:color="auto" w:sz="6" w:space="0"/>
            </w:tcBorders>
            <w:noWrap w:val="0"/>
            <w:vAlign w:val="center"/>
          </w:tcPr>
          <w:p w14:paraId="3FDDBF8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18A01342">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18613596">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7370488D">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6E450749">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137458E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14:paraId="0DF558F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030897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56712DD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313491B2">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3041E9F4">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4C280BF0">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54102379">
            <w:pPr>
              <w:pStyle w:val="16"/>
              <w:keepNext/>
              <w:spacing w:after="0" w:line="440" w:lineRule="exact"/>
              <w:ind w:left="63" w:right="63"/>
              <w:rPr>
                <w:rFonts w:eastAsia="仿宋_GB2312"/>
                <w:color w:val="000000"/>
                <w:kern w:val="2"/>
                <w:sz w:val="30"/>
                <w:szCs w:val="30"/>
                <w:lang w:val="en-US" w:eastAsia="zh-CN"/>
              </w:rPr>
            </w:pPr>
          </w:p>
        </w:tc>
      </w:tr>
      <w:tr w14:paraId="12DDF8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14:paraId="59C5468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37EC8A06">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BB6B5A5">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15BA462">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7003588">
            <w:pPr>
              <w:pStyle w:val="16"/>
              <w:keepNext/>
              <w:spacing w:after="0" w:line="440" w:lineRule="exact"/>
              <w:ind w:left="63" w:right="63"/>
              <w:rPr>
                <w:rFonts w:eastAsia="仿宋_GB2312"/>
                <w:color w:val="000000"/>
                <w:kern w:val="2"/>
                <w:sz w:val="30"/>
                <w:szCs w:val="30"/>
                <w:lang w:val="en-US" w:eastAsia="zh-CN"/>
              </w:rPr>
            </w:pPr>
          </w:p>
        </w:tc>
      </w:tr>
      <w:tr w14:paraId="61B11C6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5987A29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091593C2">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3CD4201">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D0F7DC6">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F6C4A60">
            <w:pPr>
              <w:pStyle w:val="16"/>
              <w:keepNext/>
              <w:spacing w:after="0" w:line="440" w:lineRule="exact"/>
              <w:ind w:left="63" w:right="63"/>
              <w:rPr>
                <w:rFonts w:eastAsia="仿宋_GB2312"/>
                <w:color w:val="000000"/>
                <w:kern w:val="2"/>
                <w:sz w:val="30"/>
                <w:szCs w:val="30"/>
                <w:lang w:val="en-US" w:eastAsia="zh-CN"/>
              </w:rPr>
            </w:pPr>
          </w:p>
        </w:tc>
      </w:tr>
      <w:tr w14:paraId="2C81799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237A6A4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4E85783">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89B3212">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F16893D">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D2FB72E">
            <w:pPr>
              <w:pStyle w:val="16"/>
              <w:keepNext/>
              <w:spacing w:after="0" w:line="440" w:lineRule="exact"/>
              <w:ind w:left="63" w:right="63"/>
              <w:rPr>
                <w:rFonts w:eastAsia="仿宋_GB2312"/>
                <w:color w:val="000000"/>
                <w:kern w:val="2"/>
                <w:sz w:val="30"/>
                <w:szCs w:val="30"/>
                <w:lang w:val="en-US" w:eastAsia="zh-CN"/>
              </w:rPr>
            </w:pPr>
          </w:p>
        </w:tc>
      </w:tr>
      <w:tr w14:paraId="29F368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14:paraId="499E1D0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5A5058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723554A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4B8D2FAF">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54F6330">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6F39C36">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BD6BADB">
            <w:pPr>
              <w:pStyle w:val="16"/>
              <w:keepNext/>
              <w:spacing w:after="0" w:line="440" w:lineRule="exact"/>
              <w:ind w:left="63" w:right="63"/>
              <w:rPr>
                <w:rFonts w:eastAsia="仿宋_GB2312"/>
                <w:color w:val="000000"/>
                <w:kern w:val="2"/>
                <w:sz w:val="30"/>
                <w:szCs w:val="30"/>
                <w:lang w:val="en-US" w:eastAsia="zh-CN"/>
              </w:rPr>
            </w:pPr>
          </w:p>
        </w:tc>
      </w:tr>
      <w:tr w14:paraId="42600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6CB618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0122BDF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CD1F4B7">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C7CE223">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B6CE772">
            <w:pPr>
              <w:pStyle w:val="16"/>
              <w:keepNext/>
              <w:spacing w:after="0" w:line="440" w:lineRule="exact"/>
              <w:ind w:left="63" w:right="63"/>
              <w:rPr>
                <w:rFonts w:eastAsia="仿宋_GB2312"/>
                <w:color w:val="000000"/>
                <w:kern w:val="2"/>
                <w:sz w:val="30"/>
                <w:szCs w:val="30"/>
                <w:lang w:val="en-US" w:eastAsia="zh-CN"/>
              </w:rPr>
            </w:pPr>
          </w:p>
        </w:tc>
      </w:tr>
      <w:tr w14:paraId="008B270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0412342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7C6686BE">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62C275F">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28B95F2">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D182115">
            <w:pPr>
              <w:pStyle w:val="16"/>
              <w:keepNext/>
              <w:spacing w:after="0" w:line="440" w:lineRule="exact"/>
              <w:ind w:left="63" w:right="63"/>
              <w:rPr>
                <w:rFonts w:eastAsia="仿宋_GB2312"/>
                <w:color w:val="000000"/>
                <w:kern w:val="2"/>
                <w:sz w:val="30"/>
                <w:szCs w:val="30"/>
                <w:lang w:val="en-US" w:eastAsia="zh-CN"/>
              </w:rPr>
            </w:pPr>
          </w:p>
        </w:tc>
      </w:tr>
      <w:tr w14:paraId="37A897C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1964BF1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5E51AA04">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58F35B8">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2F48EA9">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F7CAE60">
            <w:pPr>
              <w:pStyle w:val="16"/>
              <w:keepNext/>
              <w:spacing w:after="0" w:line="440" w:lineRule="exact"/>
              <w:ind w:left="63" w:right="63"/>
              <w:rPr>
                <w:rFonts w:eastAsia="仿宋_GB2312"/>
                <w:color w:val="000000"/>
                <w:kern w:val="2"/>
                <w:sz w:val="30"/>
                <w:szCs w:val="30"/>
                <w:lang w:val="en-US" w:eastAsia="zh-CN"/>
              </w:rPr>
            </w:pPr>
          </w:p>
        </w:tc>
      </w:tr>
      <w:tr w14:paraId="69F1F89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746E1B5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727F541B">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82EC312">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CBF93D9">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A98AB4E">
            <w:pPr>
              <w:pStyle w:val="16"/>
              <w:keepNext/>
              <w:spacing w:after="0" w:line="440" w:lineRule="exact"/>
              <w:ind w:left="63" w:right="63"/>
              <w:rPr>
                <w:rFonts w:eastAsia="仿宋_GB2312"/>
                <w:color w:val="000000"/>
                <w:kern w:val="2"/>
                <w:sz w:val="30"/>
                <w:szCs w:val="30"/>
                <w:lang w:val="en-US" w:eastAsia="zh-CN"/>
              </w:rPr>
            </w:pPr>
          </w:p>
        </w:tc>
      </w:tr>
      <w:tr w14:paraId="4EDEB6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38A62EF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576A4545">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64F36DC">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143FF77">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0CA7BD3">
            <w:pPr>
              <w:pStyle w:val="16"/>
              <w:keepNext/>
              <w:spacing w:after="0" w:line="440" w:lineRule="exact"/>
              <w:ind w:left="63" w:right="63"/>
              <w:rPr>
                <w:rFonts w:eastAsia="仿宋_GB2312"/>
                <w:color w:val="000000"/>
                <w:kern w:val="2"/>
                <w:sz w:val="30"/>
                <w:szCs w:val="30"/>
                <w:lang w:val="en-US" w:eastAsia="zh-CN"/>
              </w:rPr>
            </w:pPr>
          </w:p>
        </w:tc>
      </w:tr>
      <w:tr w14:paraId="6FAC90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0665EC3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1C325BAA">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C92080F">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1570D8A">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7664473">
            <w:pPr>
              <w:pStyle w:val="16"/>
              <w:keepNext/>
              <w:spacing w:after="0" w:line="440" w:lineRule="exact"/>
              <w:ind w:left="63" w:right="63"/>
              <w:rPr>
                <w:rFonts w:eastAsia="仿宋_GB2312"/>
                <w:color w:val="000000"/>
                <w:kern w:val="2"/>
                <w:sz w:val="30"/>
                <w:szCs w:val="30"/>
                <w:lang w:val="en-US" w:eastAsia="zh-CN"/>
              </w:rPr>
            </w:pPr>
          </w:p>
        </w:tc>
      </w:tr>
      <w:tr w14:paraId="2230656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A948B8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69C0760B">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2FF2B41">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013B3F6">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5D70F92">
            <w:pPr>
              <w:pStyle w:val="16"/>
              <w:keepNext/>
              <w:spacing w:after="0" w:line="440" w:lineRule="exact"/>
              <w:ind w:left="63" w:right="63"/>
              <w:rPr>
                <w:rFonts w:eastAsia="仿宋_GB2312"/>
                <w:color w:val="000000"/>
                <w:kern w:val="2"/>
                <w:sz w:val="30"/>
                <w:szCs w:val="30"/>
                <w:lang w:val="en-US" w:eastAsia="zh-CN"/>
              </w:rPr>
            </w:pPr>
          </w:p>
        </w:tc>
      </w:tr>
      <w:tr w14:paraId="1150892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14:paraId="5653191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03F583C0">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6F86C7F">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14CE80E">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7A06631">
            <w:pPr>
              <w:pStyle w:val="16"/>
              <w:keepNext/>
              <w:spacing w:after="0" w:line="440" w:lineRule="exact"/>
              <w:ind w:left="63" w:right="63"/>
              <w:rPr>
                <w:rFonts w:eastAsia="仿宋_GB2312"/>
                <w:color w:val="000000"/>
                <w:kern w:val="2"/>
                <w:sz w:val="30"/>
                <w:szCs w:val="30"/>
                <w:lang w:val="en-US" w:eastAsia="zh-CN"/>
              </w:rPr>
            </w:pPr>
          </w:p>
        </w:tc>
      </w:tr>
      <w:tr w14:paraId="2A46DBD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329E33E3">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595ABF18">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3B06B051">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79457E67">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11E14A33">
            <w:pPr>
              <w:pStyle w:val="16"/>
              <w:keepNext/>
              <w:spacing w:after="0" w:line="440" w:lineRule="exact"/>
              <w:ind w:left="63" w:right="63"/>
              <w:rPr>
                <w:rFonts w:eastAsia="仿宋_GB2312"/>
                <w:color w:val="000000"/>
                <w:kern w:val="2"/>
                <w:sz w:val="30"/>
                <w:szCs w:val="30"/>
                <w:lang w:val="en-US" w:eastAsia="zh-CN"/>
              </w:rPr>
            </w:pPr>
          </w:p>
        </w:tc>
      </w:tr>
      <w:tr w14:paraId="4735790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533BDE4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4B4FFBA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71E4F4A">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104003B">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49ADB73">
            <w:pPr>
              <w:pStyle w:val="16"/>
              <w:keepNext/>
              <w:spacing w:after="0" w:line="440" w:lineRule="exact"/>
              <w:ind w:left="63" w:right="63"/>
              <w:rPr>
                <w:rFonts w:eastAsia="仿宋_GB2312"/>
                <w:color w:val="000000"/>
                <w:kern w:val="2"/>
                <w:sz w:val="30"/>
                <w:szCs w:val="30"/>
                <w:lang w:val="en-US" w:eastAsia="zh-CN"/>
              </w:rPr>
            </w:pPr>
          </w:p>
        </w:tc>
      </w:tr>
      <w:tr w14:paraId="023E0E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5477819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F084CC3">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2BAAC7D">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72400943">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8D9F43D">
            <w:pPr>
              <w:pStyle w:val="16"/>
              <w:keepNext/>
              <w:spacing w:after="0" w:line="440" w:lineRule="exact"/>
              <w:ind w:left="63" w:right="63"/>
              <w:rPr>
                <w:rFonts w:eastAsia="仿宋_GB2312"/>
                <w:color w:val="000000"/>
                <w:kern w:val="2"/>
                <w:sz w:val="30"/>
                <w:szCs w:val="30"/>
                <w:lang w:val="en-US" w:eastAsia="zh-CN"/>
              </w:rPr>
            </w:pPr>
          </w:p>
        </w:tc>
      </w:tr>
      <w:tr w14:paraId="6165EA3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0263BB0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292AA132">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107CDD3">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6E1272A">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65DFFC9">
            <w:pPr>
              <w:pStyle w:val="16"/>
              <w:keepNext/>
              <w:spacing w:after="0" w:line="440" w:lineRule="exact"/>
              <w:ind w:left="63" w:right="63"/>
              <w:rPr>
                <w:rFonts w:eastAsia="仿宋_GB2312"/>
                <w:color w:val="000000"/>
                <w:kern w:val="2"/>
                <w:sz w:val="30"/>
                <w:szCs w:val="30"/>
                <w:lang w:val="en-US" w:eastAsia="zh-CN"/>
              </w:rPr>
            </w:pPr>
          </w:p>
        </w:tc>
      </w:tr>
      <w:tr w14:paraId="74EE475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14:paraId="1743F264">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4EF222C7">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1CB3720E">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114E49DB">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4966734D">
            <w:pPr>
              <w:pStyle w:val="16"/>
              <w:keepNext/>
              <w:spacing w:after="0" w:line="440" w:lineRule="exact"/>
              <w:ind w:left="63" w:right="63"/>
              <w:rPr>
                <w:rFonts w:eastAsia="仿宋_GB2312"/>
                <w:color w:val="000000"/>
                <w:kern w:val="2"/>
                <w:sz w:val="30"/>
                <w:szCs w:val="30"/>
                <w:lang w:val="en-US" w:eastAsia="zh-CN"/>
              </w:rPr>
            </w:pPr>
          </w:p>
        </w:tc>
      </w:tr>
    </w:tbl>
    <w:p w14:paraId="05171F17">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w:t>
      </w:r>
      <w:bookmarkStart w:id="1013" w:name="_Toc296944568"/>
      <w:bookmarkStart w:id="1014" w:name="_Toc296346730"/>
      <w:bookmarkStart w:id="1015" w:name="_Toc296347228"/>
      <w:bookmarkStart w:id="1016" w:name="_Toc296891057"/>
      <w:bookmarkStart w:id="1017" w:name="_Toc296891269"/>
      <w:bookmarkStart w:id="1018" w:name="_Toc296503229"/>
      <w:r>
        <w:rPr>
          <w:rFonts w:ascii="Times New Roman" w:hAnsi="Times New Roman" w:eastAsia="仿宋_GB2312"/>
          <w:color w:val="000000"/>
          <w:sz w:val="30"/>
          <w:szCs w:val="30"/>
        </w:rPr>
        <w:t>件7：</w:t>
      </w:r>
    </w:p>
    <w:bookmarkEnd w:id="1013"/>
    <w:bookmarkEnd w:id="1014"/>
    <w:bookmarkEnd w:id="1015"/>
    <w:bookmarkEnd w:id="1016"/>
    <w:bookmarkEnd w:id="1017"/>
    <w:bookmarkEnd w:id="1018"/>
    <w:p w14:paraId="03EB15E2">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分包人主要施工管理人员表</w:t>
      </w:r>
    </w:p>
    <w:tbl>
      <w:tblPr>
        <w:tblStyle w:val="34"/>
        <w:tblW w:w="0" w:type="auto"/>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1871"/>
        <w:gridCol w:w="1418"/>
        <w:gridCol w:w="1134"/>
        <w:gridCol w:w="1134"/>
        <w:gridCol w:w="4252"/>
      </w:tblGrid>
      <w:tr w14:paraId="12A5D85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12" w:space="0"/>
              <w:bottom w:val="double" w:color="auto" w:sz="6" w:space="0"/>
            </w:tcBorders>
            <w:noWrap w:val="0"/>
            <w:vAlign w:val="center"/>
          </w:tcPr>
          <w:p w14:paraId="408FB81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    称</w:t>
            </w:r>
          </w:p>
        </w:tc>
        <w:tc>
          <w:tcPr>
            <w:tcW w:w="1418" w:type="dxa"/>
            <w:tcBorders>
              <w:top w:val="single" w:color="auto" w:sz="12" w:space="0"/>
              <w:bottom w:val="double" w:color="auto" w:sz="6" w:space="0"/>
            </w:tcBorders>
            <w:noWrap w:val="0"/>
            <w:vAlign w:val="center"/>
          </w:tcPr>
          <w:p w14:paraId="3C988F1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姓名</w:t>
            </w:r>
          </w:p>
        </w:tc>
        <w:tc>
          <w:tcPr>
            <w:tcW w:w="1134" w:type="dxa"/>
            <w:tcBorders>
              <w:top w:val="single" w:color="auto" w:sz="12" w:space="0"/>
              <w:bottom w:val="double" w:color="auto" w:sz="6" w:space="0"/>
            </w:tcBorders>
            <w:noWrap w:val="0"/>
            <w:vAlign w:val="center"/>
          </w:tcPr>
          <w:p w14:paraId="79F63622">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职务</w:t>
            </w:r>
          </w:p>
        </w:tc>
        <w:tc>
          <w:tcPr>
            <w:tcW w:w="1134" w:type="dxa"/>
            <w:tcBorders>
              <w:top w:val="single" w:color="auto" w:sz="12" w:space="0"/>
              <w:bottom w:val="double" w:color="auto" w:sz="6" w:space="0"/>
            </w:tcBorders>
            <w:noWrap w:val="0"/>
            <w:vAlign w:val="center"/>
          </w:tcPr>
          <w:p w14:paraId="719DEFB1">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职称</w:t>
            </w:r>
          </w:p>
        </w:tc>
        <w:tc>
          <w:tcPr>
            <w:tcW w:w="4252" w:type="dxa"/>
            <w:tcBorders>
              <w:top w:val="single" w:color="auto" w:sz="12" w:space="0"/>
              <w:bottom w:val="double" w:color="auto" w:sz="6" w:space="0"/>
            </w:tcBorders>
            <w:noWrap w:val="0"/>
            <w:vAlign w:val="center"/>
          </w:tcPr>
          <w:p w14:paraId="15B07DE9">
            <w:pPr>
              <w:pStyle w:val="16"/>
              <w:keepNext/>
              <w:spacing w:after="0" w:line="440" w:lineRule="exact"/>
              <w:ind w:left="63" w:right="63"/>
              <w:rPr>
                <w:rFonts w:eastAsia="仿宋_GB2312"/>
                <w:color w:val="000000"/>
                <w:kern w:val="2"/>
                <w:sz w:val="30"/>
                <w:szCs w:val="30"/>
                <w:lang w:val="en-US" w:eastAsia="zh-CN"/>
              </w:rPr>
            </w:pPr>
            <w:r>
              <w:rPr>
                <w:rFonts w:eastAsia="仿宋_GB2312"/>
                <w:color w:val="000000"/>
                <w:kern w:val="2"/>
                <w:sz w:val="30"/>
                <w:szCs w:val="30"/>
                <w:lang w:val="en-US" w:eastAsia="zh-CN"/>
              </w:rPr>
              <w:t>主要资历、经验及承担过的项目</w:t>
            </w:r>
          </w:p>
        </w:tc>
      </w:tr>
      <w:tr w14:paraId="16E8E0A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double" w:color="auto" w:sz="6" w:space="0"/>
              <w:bottom w:val="single" w:color="auto" w:sz="6" w:space="0"/>
            </w:tcBorders>
            <w:noWrap w:val="0"/>
            <w:vAlign w:val="center"/>
          </w:tcPr>
          <w:p w14:paraId="64C8DEE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一、总部人员</w:t>
            </w:r>
          </w:p>
        </w:tc>
      </w:tr>
      <w:tr w14:paraId="2E3097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494A5CD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项目主管</w:t>
            </w:r>
          </w:p>
        </w:tc>
        <w:tc>
          <w:tcPr>
            <w:tcW w:w="1418" w:type="dxa"/>
            <w:tcBorders>
              <w:top w:val="nil"/>
            </w:tcBorders>
            <w:noWrap w:val="0"/>
            <w:vAlign w:val="center"/>
          </w:tcPr>
          <w:p w14:paraId="360A9199">
            <w:pPr>
              <w:pStyle w:val="16"/>
              <w:keepNext/>
              <w:spacing w:after="0" w:line="440" w:lineRule="exact"/>
              <w:ind w:left="63" w:right="63"/>
              <w:rPr>
                <w:rFonts w:eastAsia="仿宋_GB2312"/>
                <w:color w:val="000000"/>
                <w:kern w:val="2"/>
                <w:sz w:val="28"/>
                <w:szCs w:val="30"/>
                <w:lang w:val="en-US" w:eastAsia="zh-CN"/>
              </w:rPr>
            </w:pPr>
          </w:p>
        </w:tc>
        <w:tc>
          <w:tcPr>
            <w:tcW w:w="1134" w:type="dxa"/>
            <w:tcBorders>
              <w:top w:val="nil"/>
            </w:tcBorders>
            <w:noWrap w:val="0"/>
            <w:vAlign w:val="center"/>
          </w:tcPr>
          <w:p w14:paraId="07C56418">
            <w:pPr>
              <w:pStyle w:val="16"/>
              <w:keepNext/>
              <w:spacing w:after="0" w:line="440" w:lineRule="exact"/>
              <w:ind w:left="63" w:right="63"/>
              <w:rPr>
                <w:rFonts w:eastAsia="仿宋_GB2312"/>
                <w:color w:val="000000"/>
                <w:kern w:val="2"/>
                <w:sz w:val="30"/>
                <w:szCs w:val="30"/>
                <w:lang w:val="en-US" w:eastAsia="zh-CN"/>
              </w:rPr>
            </w:pPr>
          </w:p>
        </w:tc>
        <w:tc>
          <w:tcPr>
            <w:tcW w:w="1134" w:type="dxa"/>
            <w:tcBorders>
              <w:top w:val="nil"/>
            </w:tcBorders>
            <w:noWrap w:val="0"/>
            <w:vAlign w:val="center"/>
          </w:tcPr>
          <w:p w14:paraId="26E22618">
            <w:pPr>
              <w:pStyle w:val="16"/>
              <w:keepNext/>
              <w:spacing w:after="0" w:line="440" w:lineRule="exact"/>
              <w:ind w:left="63" w:right="63"/>
              <w:rPr>
                <w:rFonts w:eastAsia="仿宋_GB2312"/>
                <w:color w:val="000000"/>
                <w:kern w:val="2"/>
                <w:sz w:val="30"/>
                <w:szCs w:val="30"/>
                <w:lang w:val="en-US" w:eastAsia="zh-CN"/>
              </w:rPr>
            </w:pPr>
          </w:p>
        </w:tc>
        <w:tc>
          <w:tcPr>
            <w:tcW w:w="4252" w:type="dxa"/>
            <w:tcBorders>
              <w:top w:val="nil"/>
            </w:tcBorders>
            <w:noWrap w:val="0"/>
            <w:vAlign w:val="center"/>
          </w:tcPr>
          <w:p w14:paraId="78C88B38">
            <w:pPr>
              <w:pStyle w:val="16"/>
              <w:keepNext/>
              <w:spacing w:after="0" w:line="440" w:lineRule="exact"/>
              <w:ind w:left="63" w:right="63"/>
              <w:rPr>
                <w:rFonts w:eastAsia="仿宋_GB2312"/>
                <w:color w:val="000000"/>
                <w:kern w:val="2"/>
                <w:sz w:val="30"/>
                <w:szCs w:val="30"/>
                <w:lang w:val="en-US" w:eastAsia="zh-CN"/>
              </w:rPr>
            </w:pPr>
          </w:p>
        </w:tc>
      </w:tr>
      <w:tr w14:paraId="4AEC8A0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nil"/>
            </w:tcBorders>
            <w:noWrap w:val="0"/>
            <w:vAlign w:val="center"/>
          </w:tcPr>
          <w:p w14:paraId="27AA5803">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EB3B74D">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8F1C909">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5EA86F6">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4C599B8">
            <w:pPr>
              <w:pStyle w:val="16"/>
              <w:keepNext/>
              <w:spacing w:after="0" w:line="440" w:lineRule="exact"/>
              <w:ind w:left="63" w:right="63"/>
              <w:rPr>
                <w:rFonts w:eastAsia="仿宋_GB2312"/>
                <w:color w:val="000000"/>
                <w:kern w:val="2"/>
                <w:sz w:val="30"/>
                <w:szCs w:val="30"/>
                <w:lang w:val="en-US" w:eastAsia="zh-CN"/>
              </w:rPr>
            </w:pPr>
          </w:p>
        </w:tc>
      </w:tr>
      <w:tr w14:paraId="2018CA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08A4B6F6">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605C1E73">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1B7266A">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A307300">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34498B8">
            <w:pPr>
              <w:pStyle w:val="16"/>
              <w:keepNext/>
              <w:spacing w:after="0" w:line="440" w:lineRule="exact"/>
              <w:ind w:left="63" w:right="63"/>
              <w:rPr>
                <w:rFonts w:eastAsia="仿宋_GB2312"/>
                <w:color w:val="000000"/>
                <w:kern w:val="2"/>
                <w:sz w:val="30"/>
                <w:szCs w:val="30"/>
                <w:lang w:val="en-US" w:eastAsia="zh-CN"/>
              </w:rPr>
            </w:pPr>
          </w:p>
        </w:tc>
      </w:tr>
      <w:tr w14:paraId="73A36ED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nil"/>
              <w:bottom w:val="nil"/>
            </w:tcBorders>
            <w:noWrap w:val="0"/>
            <w:vAlign w:val="center"/>
          </w:tcPr>
          <w:p w14:paraId="78D269A3">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175426B6">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E548A2C">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1EA71EF8">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64002A9">
            <w:pPr>
              <w:pStyle w:val="16"/>
              <w:keepNext/>
              <w:spacing w:after="0" w:line="440" w:lineRule="exact"/>
              <w:ind w:left="63" w:right="63"/>
              <w:rPr>
                <w:rFonts w:eastAsia="仿宋_GB2312"/>
                <w:color w:val="000000"/>
                <w:kern w:val="2"/>
                <w:sz w:val="30"/>
                <w:szCs w:val="30"/>
                <w:lang w:val="en-US" w:eastAsia="zh-CN"/>
              </w:rPr>
            </w:pPr>
          </w:p>
        </w:tc>
      </w:tr>
      <w:tr w14:paraId="6AB3D7E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9809" w:type="dxa"/>
            <w:gridSpan w:val="5"/>
            <w:tcBorders>
              <w:top w:val="single" w:color="auto" w:sz="6" w:space="0"/>
              <w:bottom w:val="single" w:color="auto" w:sz="6" w:space="0"/>
            </w:tcBorders>
            <w:noWrap w:val="0"/>
            <w:vAlign w:val="center"/>
          </w:tcPr>
          <w:p w14:paraId="22A4736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二、现场人员</w:t>
            </w:r>
          </w:p>
        </w:tc>
      </w:tr>
      <w:tr w14:paraId="562016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0D40C02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项目经理</w:t>
            </w:r>
          </w:p>
        </w:tc>
        <w:tc>
          <w:tcPr>
            <w:tcW w:w="1418" w:type="dxa"/>
            <w:noWrap w:val="0"/>
            <w:vAlign w:val="center"/>
          </w:tcPr>
          <w:p w14:paraId="5837F14E">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ACAD7BE">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EF2F98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F9BA9E7">
            <w:pPr>
              <w:pStyle w:val="16"/>
              <w:keepNext/>
              <w:spacing w:after="0" w:line="440" w:lineRule="exact"/>
              <w:ind w:left="63" w:right="63"/>
              <w:rPr>
                <w:rFonts w:eastAsia="仿宋_GB2312"/>
                <w:color w:val="000000"/>
                <w:kern w:val="2"/>
                <w:sz w:val="30"/>
                <w:szCs w:val="30"/>
                <w:lang w:val="en-US" w:eastAsia="zh-CN"/>
              </w:rPr>
            </w:pPr>
          </w:p>
        </w:tc>
      </w:tr>
      <w:tr w14:paraId="0A191A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F50221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项目副经理</w:t>
            </w:r>
          </w:p>
        </w:tc>
        <w:tc>
          <w:tcPr>
            <w:tcW w:w="1418" w:type="dxa"/>
            <w:noWrap w:val="0"/>
            <w:vAlign w:val="center"/>
          </w:tcPr>
          <w:p w14:paraId="0C78AA20">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2F95E9D6">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7BD6C5B">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5BC6DDE8">
            <w:pPr>
              <w:pStyle w:val="16"/>
              <w:keepNext/>
              <w:spacing w:after="0" w:line="440" w:lineRule="exact"/>
              <w:ind w:left="63" w:right="63"/>
              <w:rPr>
                <w:rFonts w:eastAsia="仿宋_GB2312"/>
                <w:color w:val="000000"/>
                <w:kern w:val="2"/>
                <w:sz w:val="30"/>
                <w:szCs w:val="30"/>
                <w:lang w:val="en-US" w:eastAsia="zh-CN"/>
              </w:rPr>
            </w:pPr>
          </w:p>
        </w:tc>
      </w:tr>
      <w:tr w14:paraId="489103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369DBC6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技术负责人</w:t>
            </w:r>
          </w:p>
        </w:tc>
        <w:tc>
          <w:tcPr>
            <w:tcW w:w="1418" w:type="dxa"/>
            <w:noWrap w:val="0"/>
            <w:vAlign w:val="center"/>
          </w:tcPr>
          <w:p w14:paraId="3299C59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08068F9E">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42DD6B2">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D80618D">
            <w:pPr>
              <w:pStyle w:val="16"/>
              <w:keepNext/>
              <w:spacing w:after="0" w:line="440" w:lineRule="exact"/>
              <w:ind w:left="63" w:right="63"/>
              <w:rPr>
                <w:rFonts w:eastAsia="仿宋_GB2312"/>
                <w:color w:val="000000"/>
                <w:kern w:val="2"/>
                <w:sz w:val="30"/>
                <w:szCs w:val="30"/>
                <w:lang w:val="en-US" w:eastAsia="zh-CN"/>
              </w:rPr>
            </w:pPr>
          </w:p>
        </w:tc>
      </w:tr>
      <w:tr w14:paraId="76CEA7D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5ECF6C5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造价管理</w:t>
            </w:r>
          </w:p>
        </w:tc>
        <w:tc>
          <w:tcPr>
            <w:tcW w:w="1418" w:type="dxa"/>
            <w:noWrap w:val="0"/>
            <w:vAlign w:val="center"/>
          </w:tcPr>
          <w:p w14:paraId="5C48FA2A">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48480383">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C654AA4">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0B06B997">
            <w:pPr>
              <w:pStyle w:val="16"/>
              <w:keepNext/>
              <w:spacing w:after="0" w:line="440" w:lineRule="exact"/>
              <w:ind w:left="63" w:right="63"/>
              <w:rPr>
                <w:rFonts w:eastAsia="仿宋_GB2312"/>
                <w:color w:val="000000"/>
                <w:kern w:val="2"/>
                <w:sz w:val="30"/>
                <w:szCs w:val="30"/>
                <w:lang w:val="en-US" w:eastAsia="zh-CN"/>
              </w:rPr>
            </w:pPr>
          </w:p>
        </w:tc>
      </w:tr>
      <w:tr w14:paraId="40BE91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41457B18">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质量管理</w:t>
            </w:r>
          </w:p>
        </w:tc>
        <w:tc>
          <w:tcPr>
            <w:tcW w:w="1418" w:type="dxa"/>
            <w:noWrap w:val="0"/>
            <w:vAlign w:val="center"/>
          </w:tcPr>
          <w:p w14:paraId="7D1845A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865BC83">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0F90F8B0">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64B993BA">
            <w:pPr>
              <w:pStyle w:val="16"/>
              <w:keepNext/>
              <w:spacing w:after="0" w:line="440" w:lineRule="exact"/>
              <w:ind w:left="63" w:right="63"/>
              <w:rPr>
                <w:rFonts w:eastAsia="仿宋_GB2312"/>
                <w:color w:val="000000"/>
                <w:kern w:val="2"/>
                <w:sz w:val="30"/>
                <w:szCs w:val="30"/>
                <w:lang w:val="en-US" w:eastAsia="zh-CN"/>
              </w:rPr>
            </w:pPr>
          </w:p>
        </w:tc>
      </w:tr>
      <w:tr w14:paraId="23C7028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010EAA8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材料管理</w:t>
            </w:r>
          </w:p>
        </w:tc>
        <w:tc>
          <w:tcPr>
            <w:tcW w:w="1418" w:type="dxa"/>
            <w:noWrap w:val="0"/>
            <w:vAlign w:val="center"/>
          </w:tcPr>
          <w:p w14:paraId="786C837F">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0A5F6B0">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430B3806">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1701F919">
            <w:pPr>
              <w:pStyle w:val="16"/>
              <w:keepNext/>
              <w:spacing w:after="0" w:line="440" w:lineRule="exact"/>
              <w:ind w:left="63" w:right="63"/>
              <w:rPr>
                <w:rFonts w:eastAsia="仿宋_GB2312"/>
                <w:color w:val="000000"/>
                <w:kern w:val="2"/>
                <w:sz w:val="30"/>
                <w:szCs w:val="30"/>
                <w:lang w:val="en-US" w:eastAsia="zh-CN"/>
              </w:rPr>
            </w:pPr>
          </w:p>
        </w:tc>
      </w:tr>
      <w:tr w14:paraId="5985D7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41169D0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计划管理</w:t>
            </w:r>
          </w:p>
        </w:tc>
        <w:tc>
          <w:tcPr>
            <w:tcW w:w="1418" w:type="dxa"/>
            <w:noWrap w:val="0"/>
            <w:vAlign w:val="center"/>
          </w:tcPr>
          <w:p w14:paraId="4680940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6D0988B">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C668CBD">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41A2426D">
            <w:pPr>
              <w:pStyle w:val="16"/>
              <w:keepNext/>
              <w:spacing w:after="0" w:line="440" w:lineRule="exact"/>
              <w:ind w:left="63" w:right="63"/>
              <w:rPr>
                <w:rFonts w:eastAsia="仿宋_GB2312"/>
                <w:color w:val="000000"/>
                <w:kern w:val="2"/>
                <w:sz w:val="30"/>
                <w:szCs w:val="30"/>
                <w:lang w:val="en-US" w:eastAsia="zh-CN"/>
              </w:rPr>
            </w:pPr>
          </w:p>
        </w:tc>
      </w:tr>
      <w:tr w14:paraId="25CBC66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tcBorders>
              <w:top w:val="single" w:color="auto" w:sz="6" w:space="0"/>
              <w:bottom w:val="single" w:color="auto" w:sz="6" w:space="0"/>
            </w:tcBorders>
            <w:noWrap w:val="0"/>
            <w:vAlign w:val="center"/>
          </w:tcPr>
          <w:p w14:paraId="3613E40C">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安全管理</w:t>
            </w:r>
          </w:p>
        </w:tc>
        <w:tc>
          <w:tcPr>
            <w:tcW w:w="1418" w:type="dxa"/>
            <w:noWrap w:val="0"/>
            <w:vAlign w:val="center"/>
          </w:tcPr>
          <w:p w14:paraId="6ACD24AE">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59BC1F4F">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9A98005">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75774C8A">
            <w:pPr>
              <w:pStyle w:val="16"/>
              <w:keepNext/>
              <w:spacing w:after="0" w:line="440" w:lineRule="exact"/>
              <w:ind w:left="63" w:right="63"/>
              <w:rPr>
                <w:rFonts w:eastAsia="仿宋_GB2312"/>
                <w:color w:val="000000"/>
                <w:kern w:val="2"/>
                <w:sz w:val="30"/>
                <w:szCs w:val="30"/>
                <w:lang w:val="en-US" w:eastAsia="zh-CN"/>
              </w:rPr>
            </w:pPr>
          </w:p>
        </w:tc>
      </w:tr>
      <w:tr w14:paraId="132F140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restart"/>
            <w:tcBorders>
              <w:top w:val="single" w:color="auto" w:sz="6" w:space="0"/>
            </w:tcBorders>
            <w:noWrap w:val="0"/>
            <w:vAlign w:val="center"/>
          </w:tcPr>
          <w:p w14:paraId="1467F23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其他人员</w:t>
            </w:r>
          </w:p>
        </w:tc>
        <w:tc>
          <w:tcPr>
            <w:tcW w:w="1418" w:type="dxa"/>
            <w:noWrap w:val="0"/>
            <w:vAlign w:val="center"/>
          </w:tcPr>
          <w:p w14:paraId="2969D976">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1E4FF7FC">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678406AA">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8703A37">
            <w:pPr>
              <w:pStyle w:val="16"/>
              <w:keepNext/>
              <w:spacing w:after="0" w:line="440" w:lineRule="exact"/>
              <w:ind w:left="63" w:right="63"/>
              <w:rPr>
                <w:rFonts w:eastAsia="仿宋_GB2312"/>
                <w:color w:val="000000"/>
                <w:kern w:val="2"/>
                <w:sz w:val="30"/>
                <w:szCs w:val="30"/>
                <w:lang w:val="en-US" w:eastAsia="zh-CN"/>
              </w:rPr>
            </w:pPr>
          </w:p>
        </w:tc>
      </w:tr>
      <w:tr w14:paraId="52FACC8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14DF8FAD">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nil"/>
            </w:tcBorders>
            <w:noWrap w:val="0"/>
            <w:vAlign w:val="center"/>
          </w:tcPr>
          <w:p w14:paraId="79A4FB09">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nil"/>
            </w:tcBorders>
            <w:noWrap w:val="0"/>
            <w:vAlign w:val="center"/>
          </w:tcPr>
          <w:p w14:paraId="5F5F7BA2">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nil"/>
            </w:tcBorders>
            <w:noWrap w:val="0"/>
            <w:vAlign w:val="center"/>
          </w:tcPr>
          <w:p w14:paraId="3BF6960E">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nil"/>
            </w:tcBorders>
            <w:noWrap w:val="0"/>
            <w:vAlign w:val="center"/>
          </w:tcPr>
          <w:p w14:paraId="03118327">
            <w:pPr>
              <w:pStyle w:val="16"/>
              <w:keepNext/>
              <w:spacing w:after="0" w:line="440" w:lineRule="exact"/>
              <w:ind w:left="63" w:right="63"/>
              <w:rPr>
                <w:rFonts w:eastAsia="仿宋_GB2312"/>
                <w:color w:val="000000"/>
                <w:kern w:val="2"/>
                <w:sz w:val="30"/>
                <w:szCs w:val="30"/>
                <w:lang w:val="en-US" w:eastAsia="zh-CN"/>
              </w:rPr>
            </w:pPr>
          </w:p>
        </w:tc>
      </w:tr>
      <w:tr w14:paraId="745E5F5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11455C8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05377099">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35E38289">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2B52CE5B">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559A170">
            <w:pPr>
              <w:pStyle w:val="16"/>
              <w:keepNext/>
              <w:spacing w:after="0" w:line="440" w:lineRule="exact"/>
              <w:ind w:left="63" w:right="63"/>
              <w:rPr>
                <w:rFonts w:eastAsia="仿宋_GB2312"/>
                <w:color w:val="000000"/>
                <w:kern w:val="2"/>
                <w:sz w:val="30"/>
                <w:szCs w:val="30"/>
                <w:lang w:val="en-US" w:eastAsia="zh-CN"/>
              </w:rPr>
            </w:pPr>
          </w:p>
        </w:tc>
      </w:tr>
      <w:tr w14:paraId="2A77A20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290069B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5CD8FD37">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661975A3">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3E5258D0">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3281D713">
            <w:pPr>
              <w:pStyle w:val="16"/>
              <w:keepNext/>
              <w:spacing w:after="0" w:line="440" w:lineRule="exact"/>
              <w:ind w:left="63" w:right="63"/>
              <w:rPr>
                <w:rFonts w:eastAsia="仿宋_GB2312"/>
                <w:color w:val="000000"/>
                <w:kern w:val="2"/>
                <w:sz w:val="30"/>
                <w:szCs w:val="30"/>
                <w:lang w:val="en-US" w:eastAsia="zh-CN"/>
              </w:rPr>
            </w:pPr>
          </w:p>
        </w:tc>
      </w:tr>
      <w:tr w14:paraId="4D8258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noWrap w:val="0"/>
            <w:vAlign w:val="center"/>
          </w:tcPr>
          <w:p w14:paraId="2C2D063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center"/>
          </w:tcPr>
          <w:p w14:paraId="6B6C1052">
            <w:pPr>
              <w:pStyle w:val="16"/>
              <w:keepNext/>
              <w:spacing w:after="0" w:line="440" w:lineRule="exact"/>
              <w:ind w:left="63" w:right="63"/>
              <w:rPr>
                <w:rFonts w:eastAsia="仿宋_GB2312"/>
                <w:color w:val="000000"/>
                <w:kern w:val="2"/>
                <w:sz w:val="28"/>
                <w:szCs w:val="30"/>
                <w:lang w:val="en-US" w:eastAsia="zh-CN"/>
              </w:rPr>
            </w:pPr>
          </w:p>
        </w:tc>
        <w:tc>
          <w:tcPr>
            <w:tcW w:w="1134" w:type="dxa"/>
            <w:noWrap w:val="0"/>
            <w:vAlign w:val="center"/>
          </w:tcPr>
          <w:p w14:paraId="79ECA8AA">
            <w:pPr>
              <w:pStyle w:val="16"/>
              <w:keepNext/>
              <w:spacing w:after="0" w:line="440" w:lineRule="exact"/>
              <w:ind w:left="63" w:right="63"/>
              <w:rPr>
                <w:rFonts w:eastAsia="仿宋_GB2312"/>
                <w:color w:val="000000"/>
                <w:kern w:val="2"/>
                <w:sz w:val="30"/>
                <w:szCs w:val="30"/>
                <w:lang w:val="en-US" w:eastAsia="zh-CN"/>
              </w:rPr>
            </w:pPr>
          </w:p>
        </w:tc>
        <w:tc>
          <w:tcPr>
            <w:tcW w:w="1134" w:type="dxa"/>
            <w:noWrap w:val="0"/>
            <w:vAlign w:val="center"/>
          </w:tcPr>
          <w:p w14:paraId="556CFB39">
            <w:pPr>
              <w:pStyle w:val="16"/>
              <w:keepNext/>
              <w:spacing w:after="0" w:line="440" w:lineRule="exact"/>
              <w:ind w:left="63" w:right="63"/>
              <w:rPr>
                <w:rFonts w:eastAsia="仿宋_GB2312"/>
                <w:color w:val="000000"/>
                <w:kern w:val="2"/>
                <w:sz w:val="30"/>
                <w:szCs w:val="30"/>
                <w:lang w:val="en-US" w:eastAsia="zh-CN"/>
              </w:rPr>
            </w:pPr>
          </w:p>
        </w:tc>
        <w:tc>
          <w:tcPr>
            <w:tcW w:w="4252" w:type="dxa"/>
            <w:noWrap w:val="0"/>
            <w:vAlign w:val="center"/>
          </w:tcPr>
          <w:p w14:paraId="2A97622C">
            <w:pPr>
              <w:pStyle w:val="16"/>
              <w:keepNext/>
              <w:spacing w:after="0" w:line="440" w:lineRule="exact"/>
              <w:ind w:left="63" w:right="63"/>
              <w:rPr>
                <w:rFonts w:eastAsia="仿宋_GB2312"/>
                <w:color w:val="000000"/>
                <w:kern w:val="2"/>
                <w:sz w:val="30"/>
                <w:szCs w:val="30"/>
                <w:lang w:val="en-US" w:eastAsia="zh-CN"/>
              </w:rPr>
            </w:pPr>
          </w:p>
        </w:tc>
      </w:tr>
      <w:tr w14:paraId="29EDCA5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jc w:val="center"/>
        </w:trPr>
        <w:tc>
          <w:tcPr>
            <w:tcW w:w="1871" w:type="dxa"/>
            <w:vMerge w:val="continue"/>
            <w:tcBorders>
              <w:bottom w:val="single" w:color="auto" w:sz="12" w:space="0"/>
            </w:tcBorders>
            <w:noWrap w:val="0"/>
            <w:vAlign w:val="center"/>
          </w:tcPr>
          <w:p w14:paraId="2AC42F5E">
            <w:pPr>
              <w:pStyle w:val="16"/>
              <w:keepNext/>
              <w:spacing w:after="0" w:line="440" w:lineRule="exact"/>
              <w:ind w:left="63" w:right="63"/>
              <w:rPr>
                <w:rFonts w:eastAsia="仿宋_GB2312"/>
                <w:color w:val="000000"/>
                <w:kern w:val="2"/>
                <w:sz w:val="28"/>
                <w:szCs w:val="30"/>
                <w:lang w:val="en-US" w:eastAsia="zh-CN"/>
              </w:rPr>
            </w:pPr>
          </w:p>
        </w:tc>
        <w:tc>
          <w:tcPr>
            <w:tcW w:w="1418" w:type="dxa"/>
            <w:tcBorders>
              <w:bottom w:val="single" w:color="auto" w:sz="12" w:space="0"/>
            </w:tcBorders>
            <w:noWrap w:val="0"/>
            <w:vAlign w:val="center"/>
          </w:tcPr>
          <w:p w14:paraId="50849B61">
            <w:pPr>
              <w:pStyle w:val="16"/>
              <w:keepNext/>
              <w:spacing w:after="0" w:line="440" w:lineRule="exact"/>
              <w:ind w:left="63" w:right="63"/>
              <w:rPr>
                <w:rFonts w:eastAsia="仿宋_GB2312"/>
                <w:color w:val="000000"/>
                <w:kern w:val="2"/>
                <w:sz w:val="28"/>
                <w:szCs w:val="30"/>
                <w:lang w:val="en-US" w:eastAsia="zh-CN"/>
              </w:rPr>
            </w:pPr>
          </w:p>
        </w:tc>
        <w:tc>
          <w:tcPr>
            <w:tcW w:w="1134" w:type="dxa"/>
            <w:tcBorders>
              <w:bottom w:val="single" w:color="auto" w:sz="12" w:space="0"/>
            </w:tcBorders>
            <w:noWrap w:val="0"/>
            <w:vAlign w:val="center"/>
          </w:tcPr>
          <w:p w14:paraId="32C3D56B">
            <w:pPr>
              <w:pStyle w:val="16"/>
              <w:keepNext/>
              <w:spacing w:after="0" w:line="440" w:lineRule="exact"/>
              <w:ind w:left="63" w:right="63"/>
              <w:rPr>
                <w:rFonts w:eastAsia="仿宋_GB2312"/>
                <w:color w:val="000000"/>
                <w:kern w:val="2"/>
                <w:sz w:val="30"/>
                <w:szCs w:val="30"/>
                <w:lang w:val="en-US" w:eastAsia="zh-CN"/>
              </w:rPr>
            </w:pPr>
          </w:p>
        </w:tc>
        <w:tc>
          <w:tcPr>
            <w:tcW w:w="1134" w:type="dxa"/>
            <w:tcBorders>
              <w:bottom w:val="single" w:color="auto" w:sz="12" w:space="0"/>
            </w:tcBorders>
            <w:noWrap w:val="0"/>
            <w:vAlign w:val="center"/>
          </w:tcPr>
          <w:p w14:paraId="3EA84F0D">
            <w:pPr>
              <w:pStyle w:val="16"/>
              <w:keepNext/>
              <w:spacing w:after="0" w:line="440" w:lineRule="exact"/>
              <w:ind w:left="63" w:right="63"/>
              <w:rPr>
                <w:rFonts w:eastAsia="仿宋_GB2312"/>
                <w:color w:val="000000"/>
                <w:kern w:val="2"/>
                <w:sz w:val="30"/>
                <w:szCs w:val="30"/>
                <w:lang w:val="en-US" w:eastAsia="zh-CN"/>
              </w:rPr>
            </w:pPr>
          </w:p>
        </w:tc>
        <w:tc>
          <w:tcPr>
            <w:tcW w:w="4252" w:type="dxa"/>
            <w:tcBorders>
              <w:bottom w:val="single" w:color="auto" w:sz="12" w:space="0"/>
            </w:tcBorders>
            <w:noWrap w:val="0"/>
            <w:vAlign w:val="center"/>
          </w:tcPr>
          <w:p w14:paraId="0CD1895E">
            <w:pPr>
              <w:pStyle w:val="16"/>
              <w:keepNext/>
              <w:spacing w:after="0" w:line="440" w:lineRule="exact"/>
              <w:ind w:left="63" w:right="63"/>
              <w:rPr>
                <w:rFonts w:eastAsia="仿宋_GB2312"/>
                <w:color w:val="000000"/>
                <w:kern w:val="2"/>
                <w:sz w:val="30"/>
                <w:szCs w:val="30"/>
                <w:lang w:val="en-US" w:eastAsia="zh-CN"/>
              </w:rPr>
            </w:pPr>
          </w:p>
        </w:tc>
      </w:tr>
    </w:tbl>
    <w:p w14:paraId="57FA9B6A">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bookmarkStart w:id="1019" w:name="_Toc267261701"/>
      <w:r>
        <w:rPr>
          <w:rFonts w:ascii="Times New Roman" w:hAnsi="Times New Roman" w:eastAsia="仿宋_GB2312"/>
          <w:color w:val="000000"/>
          <w:sz w:val="30"/>
          <w:szCs w:val="30"/>
        </w:rPr>
        <w:t>附</w:t>
      </w:r>
      <w:bookmarkStart w:id="1020" w:name="_Toc296346732"/>
      <w:bookmarkStart w:id="1021" w:name="_Toc296347230"/>
      <w:bookmarkStart w:id="1022" w:name="_Toc296503231"/>
      <w:bookmarkStart w:id="1023" w:name="_Toc296891059"/>
      <w:bookmarkStart w:id="1024" w:name="_Toc296891271"/>
      <w:bookmarkStart w:id="1025" w:name="_Toc296944570"/>
      <w:r>
        <w:rPr>
          <w:rFonts w:ascii="Times New Roman" w:hAnsi="Times New Roman" w:eastAsia="仿宋_GB2312"/>
          <w:color w:val="000000"/>
          <w:sz w:val="30"/>
          <w:szCs w:val="30"/>
        </w:rPr>
        <w:t>件8：</w:t>
      </w:r>
    </w:p>
    <w:bookmarkEnd w:id="1019"/>
    <w:bookmarkEnd w:id="1020"/>
    <w:bookmarkEnd w:id="1021"/>
    <w:bookmarkEnd w:id="1022"/>
    <w:bookmarkEnd w:id="1023"/>
    <w:bookmarkEnd w:id="1024"/>
    <w:bookmarkEnd w:id="1025"/>
    <w:p w14:paraId="361F69A8">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履约担保</w:t>
      </w:r>
    </w:p>
    <w:p w14:paraId="1ACAA659">
      <w:pPr>
        <w:spacing w:line="440" w:lineRule="exac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rPr>
        <w:t>（发包人名称）：</w:t>
      </w:r>
    </w:p>
    <w:p w14:paraId="54B3634A">
      <w:pPr>
        <w:spacing w:line="440" w:lineRule="exact"/>
        <w:rPr>
          <w:rFonts w:ascii="Times New Roman" w:hAnsi="Times New Roman" w:eastAsia="仿宋_GB2312"/>
          <w:color w:val="000000"/>
          <w:sz w:val="30"/>
          <w:szCs w:val="30"/>
        </w:rPr>
      </w:pPr>
    </w:p>
    <w:p w14:paraId="3D5A6180">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鉴于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（发包人名称，以下简称“发包人”）与</w:t>
      </w:r>
    </w:p>
    <w:p w14:paraId="511D873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（承包人名称）（以下称“承包人”）于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日就</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（工程名称）施工及有关事项协商一致共同签订《建设工程施工合同》。我方愿意无条件地、不可撤销地就承包人履行与你方签订的合同，向你方提供连带责任担保。 </w:t>
      </w:r>
    </w:p>
    <w:p w14:paraId="0E51587D">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1. 担保金额人民币（大写）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元（¥</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E379D68">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2. 担保有效期自你方与承包人签订的合同生效之日起至你方签发或应签发工程接收证书之日止。</w:t>
      </w:r>
    </w:p>
    <w:p w14:paraId="7858AE3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3. 在本担保有效期内，因承包人违反合同约定的义务给你方造成经济损失时，我方在收到你方以书面形式提出的在担保金额内的赔偿要求后，在7天内无条件支付。</w:t>
      </w:r>
    </w:p>
    <w:p w14:paraId="7328B895">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4. 你方和承包人按合同约定变更合同时，我方承担本担保规定的义务不变。</w:t>
      </w:r>
    </w:p>
    <w:p w14:paraId="507CC4DE">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5. 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7E2CEB5A">
      <w:pPr>
        <w:spacing w:line="360" w:lineRule="auto"/>
        <w:ind w:firstLine="600" w:firstLineChars="200"/>
        <w:rPr>
          <w:rFonts w:hint="eastAsia" w:ascii="Times New Roman" w:hAnsi="Times New Roman" w:eastAsia="仿宋_GB2312"/>
          <w:color w:val="000000"/>
          <w:sz w:val="30"/>
          <w:szCs w:val="30"/>
        </w:rPr>
      </w:pPr>
      <w:r>
        <w:rPr>
          <w:rFonts w:ascii="Times New Roman" w:hAnsi="Times New Roman" w:eastAsia="仿宋_GB2312"/>
          <w:color w:val="000000"/>
          <w:sz w:val="30"/>
          <w:szCs w:val="30"/>
        </w:rPr>
        <w:t>6. 本保函自我方法定代表人（或其授权代理人）签字并加盖公章之日起生效。</w:t>
      </w:r>
    </w:p>
    <w:p w14:paraId="2793F54C">
      <w:pPr>
        <w:spacing w:line="360" w:lineRule="auto"/>
        <w:rPr>
          <w:rFonts w:hint="eastAsia" w:ascii="Times New Roman" w:hAnsi="Times New Roman" w:eastAsia="仿宋_GB2312"/>
          <w:color w:val="000000"/>
          <w:sz w:val="30"/>
          <w:szCs w:val="30"/>
        </w:rPr>
      </w:pPr>
    </w:p>
    <w:p w14:paraId="0C77020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 保 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371F639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36DDCA56">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42204F8">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6545FF89">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63B4A55">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4634CA2C">
      <w:pPr>
        <w:spacing w:line="360" w:lineRule="auto"/>
        <w:jc w:val="left"/>
        <w:rPr>
          <w:rFonts w:ascii="Times New Roman" w:hAnsi="Times New Roman" w:eastAsia="仿宋_GB2312"/>
          <w:color w:val="000000"/>
          <w:sz w:val="30"/>
          <w:szCs w:val="30"/>
          <w:u w:val="single"/>
        </w:rPr>
      </w:pPr>
    </w:p>
    <w:p w14:paraId="2CA6E733">
      <w:pPr>
        <w:spacing w:line="360" w:lineRule="auto"/>
        <w:ind w:left="1899" w:hanging="1899" w:hangingChars="633"/>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hint="eastAsia"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2D8EC923">
      <w:pPr>
        <w:spacing w:line="360" w:lineRule="auto"/>
        <w:ind w:left="1899" w:hanging="1899" w:hangingChars="633"/>
        <w:rPr>
          <w:rFonts w:ascii="Times New Roman" w:hAnsi="Times New Roman" w:eastAsia="仿宋_GB2312"/>
          <w:color w:val="000000"/>
          <w:sz w:val="30"/>
          <w:szCs w:val="30"/>
        </w:rPr>
      </w:pPr>
    </w:p>
    <w:p w14:paraId="3ADA653E">
      <w:pPr>
        <w:spacing w:line="360" w:lineRule="auto"/>
        <w:ind w:left="1899" w:hanging="1899" w:hangingChars="633"/>
        <w:rPr>
          <w:rFonts w:ascii="Times New Roman" w:hAnsi="Times New Roman" w:eastAsia="仿宋_GB2312"/>
          <w:color w:val="000000"/>
          <w:sz w:val="30"/>
          <w:szCs w:val="30"/>
        </w:rPr>
      </w:pPr>
    </w:p>
    <w:p w14:paraId="4AB259D7">
      <w:pPr>
        <w:spacing w:line="360" w:lineRule="auto"/>
        <w:ind w:left="1899" w:hanging="1899" w:hangingChars="633"/>
        <w:rPr>
          <w:rFonts w:ascii="Times New Roman" w:hAnsi="Times New Roman" w:eastAsia="仿宋_GB2312"/>
          <w:color w:val="000000"/>
          <w:sz w:val="30"/>
          <w:szCs w:val="30"/>
        </w:rPr>
      </w:pPr>
    </w:p>
    <w:p w14:paraId="32BCD245">
      <w:pPr>
        <w:spacing w:line="360" w:lineRule="auto"/>
        <w:ind w:left="1899" w:hanging="1899" w:hangingChars="633"/>
        <w:rPr>
          <w:rFonts w:ascii="Times New Roman" w:hAnsi="Times New Roman" w:eastAsia="仿宋_GB2312"/>
          <w:color w:val="000000"/>
          <w:sz w:val="30"/>
          <w:szCs w:val="30"/>
        </w:rPr>
      </w:pPr>
    </w:p>
    <w:p w14:paraId="04D1DC05">
      <w:pPr>
        <w:spacing w:line="360" w:lineRule="auto"/>
        <w:ind w:left="1899" w:hanging="1899" w:hangingChars="633"/>
        <w:rPr>
          <w:rFonts w:ascii="Times New Roman" w:hAnsi="Times New Roman" w:eastAsia="仿宋_GB2312"/>
          <w:color w:val="000000"/>
          <w:sz w:val="30"/>
          <w:szCs w:val="30"/>
        </w:rPr>
      </w:pPr>
    </w:p>
    <w:p w14:paraId="4B1A9AB3">
      <w:pPr>
        <w:spacing w:line="360" w:lineRule="auto"/>
        <w:ind w:left="1899" w:hanging="1899" w:hangingChars="633"/>
        <w:rPr>
          <w:rFonts w:ascii="Times New Roman" w:hAnsi="Times New Roman" w:eastAsia="仿宋_GB2312"/>
          <w:color w:val="000000"/>
          <w:sz w:val="30"/>
          <w:szCs w:val="30"/>
        </w:rPr>
      </w:pPr>
    </w:p>
    <w:p w14:paraId="6CBC8EDA">
      <w:pPr>
        <w:spacing w:line="360" w:lineRule="auto"/>
        <w:ind w:left="1899" w:hanging="1899" w:hangingChars="633"/>
        <w:rPr>
          <w:rFonts w:ascii="Times New Roman" w:hAnsi="Times New Roman" w:eastAsia="仿宋_GB2312"/>
          <w:color w:val="000000"/>
          <w:sz w:val="30"/>
          <w:szCs w:val="30"/>
        </w:rPr>
      </w:pPr>
    </w:p>
    <w:p w14:paraId="7C3552C6">
      <w:pPr>
        <w:spacing w:line="360" w:lineRule="auto"/>
        <w:ind w:left="1899" w:hanging="1899" w:hangingChars="633"/>
        <w:rPr>
          <w:rFonts w:ascii="Times New Roman" w:hAnsi="Times New Roman" w:eastAsia="仿宋_GB2312"/>
          <w:color w:val="000000"/>
          <w:sz w:val="30"/>
          <w:szCs w:val="30"/>
        </w:rPr>
      </w:pPr>
    </w:p>
    <w:p w14:paraId="5715CF7C">
      <w:pPr>
        <w:spacing w:line="360" w:lineRule="auto"/>
        <w:ind w:left="1899" w:hanging="1899" w:hangingChars="633"/>
        <w:rPr>
          <w:rFonts w:ascii="Times New Roman" w:hAnsi="Times New Roman" w:eastAsia="仿宋_GB2312"/>
          <w:color w:val="000000"/>
          <w:sz w:val="30"/>
          <w:szCs w:val="30"/>
        </w:rPr>
      </w:pPr>
    </w:p>
    <w:p w14:paraId="709CDFCD">
      <w:pPr>
        <w:spacing w:line="360" w:lineRule="auto"/>
        <w:ind w:left="1899" w:hanging="1899" w:hangingChars="633"/>
        <w:rPr>
          <w:rFonts w:ascii="Times New Roman" w:hAnsi="Times New Roman" w:eastAsia="仿宋_GB2312"/>
          <w:color w:val="000000"/>
          <w:sz w:val="30"/>
          <w:szCs w:val="30"/>
        </w:rPr>
      </w:pPr>
    </w:p>
    <w:p w14:paraId="22907230">
      <w:pPr>
        <w:spacing w:line="360" w:lineRule="auto"/>
        <w:ind w:left="1899" w:hanging="1899" w:hangingChars="633"/>
        <w:rPr>
          <w:rFonts w:ascii="Times New Roman" w:hAnsi="Times New Roman" w:eastAsia="仿宋_GB2312"/>
          <w:color w:val="000000"/>
          <w:sz w:val="30"/>
          <w:szCs w:val="30"/>
        </w:rPr>
      </w:pPr>
    </w:p>
    <w:p w14:paraId="2D880959">
      <w:pPr>
        <w:spacing w:line="360" w:lineRule="auto"/>
        <w:ind w:left="1899" w:hanging="1899" w:hangingChars="633"/>
        <w:rPr>
          <w:rFonts w:hint="eastAsia" w:ascii="Times New Roman" w:hAnsi="Times New Roman" w:eastAsia="仿宋_GB2312"/>
          <w:color w:val="000000"/>
          <w:sz w:val="30"/>
          <w:szCs w:val="30"/>
        </w:rPr>
      </w:pPr>
    </w:p>
    <w:p w14:paraId="38B7788E">
      <w:pPr>
        <w:spacing w:line="360" w:lineRule="auto"/>
        <w:rPr>
          <w:rFonts w:hint="eastAsia" w:ascii="Times New Roman" w:hAnsi="Times New Roman" w:eastAsia="仿宋_GB2312"/>
          <w:color w:val="000000"/>
          <w:sz w:val="30"/>
          <w:szCs w:val="30"/>
        </w:rPr>
      </w:pPr>
    </w:p>
    <w:p w14:paraId="41FEC652">
      <w:pPr>
        <w:spacing w:line="360" w:lineRule="auto"/>
        <w:rPr>
          <w:rFonts w:ascii="Times New Roman" w:hAnsi="Times New Roman" w:eastAsia="黑体"/>
          <w:color w:val="000000"/>
          <w:sz w:val="30"/>
          <w:szCs w:val="30"/>
        </w:rPr>
      </w:pPr>
      <w:r>
        <w:rPr>
          <w:rFonts w:ascii="Times New Roman" w:hAnsi="Times New Roman" w:eastAsia="仿宋_GB2312"/>
          <w:color w:val="000000"/>
          <w:sz w:val="30"/>
          <w:szCs w:val="30"/>
        </w:rPr>
        <w:t>附</w:t>
      </w:r>
      <w:bookmarkStart w:id="1026" w:name="_Toc296891272"/>
      <w:bookmarkStart w:id="1027" w:name="_Toc296944571"/>
      <w:bookmarkStart w:id="1028" w:name="_Toc296891060"/>
      <w:bookmarkStart w:id="1029" w:name="_Toc296346733"/>
      <w:bookmarkStart w:id="1030" w:name="_Toc296347231"/>
      <w:bookmarkStart w:id="1031" w:name="_Toc296503232"/>
      <w:bookmarkStart w:id="1032" w:name="_Toc267261702"/>
      <w:r>
        <w:rPr>
          <w:rFonts w:ascii="Times New Roman" w:hAnsi="Times New Roman" w:eastAsia="仿宋_GB2312"/>
          <w:color w:val="000000"/>
          <w:sz w:val="30"/>
          <w:szCs w:val="30"/>
        </w:rPr>
        <w:t>件9 ：</w:t>
      </w:r>
    </w:p>
    <w:bookmarkEnd w:id="1026"/>
    <w:bookmarkEnd w:id="1027"/>
    <w:bookmarkEnd w:id="1028"/>
    <w:bookmarkEnd w:id="1029"/>
    <w:bookmarkEnd w:id="1030"/>
    <w:bookmarkEnd w:id="1031"/>
    <w:bookmarkEnd w:id="1032"/>
    <w:p w14:paraId="00408B76">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预付款担保</w:t>
      </w:r>
    </w:p>
    <w:p w14:paraId="67D25F3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 xml:space="preserve"> （发包人名称）：</w:t>
      </w:r>
    </w:p>
    <w:p w14:paraId="596FBA50">
      <w:pPr>
        <w:spacing w:line="360" w:lineRule="auto"/>
        <w:rPr>
          <w:rFonts w:ascii="Times New Roman" w:hAnsi="Times New Roman" w:eastAsia="仿宋_GB2312"/>
          <w:color w:val="000000"/>
          <w:sz w:val="30"/>
          <w:szCs w:val="30"/>
        </w:rPr>
      </w:pPr>
    </w:p>
    <w:p w14:paraId="50C0B02B">
      <w:pPr>
        <w:spacing w:line="360" w:lineRule="auto"/>
        <w:ind w:firstLine="600" w:firstLineChars="200"/>
        <w:rPr>
          <w:rFonts w:ascii="Times New Roman" w:hAnsi="Times New Roman" w:eastAsia="仿宋_GB2312"/>
          <w:color w:val="000000"/>
          <w:sz w:val="30"/>
          <w:szCs w:val="30"/>
        </w:rPr>
      </w:pPr>
      <w:r>
        <w:rPr>
          <w:rFonts w:ascii="Times New Roman" w:hAnsi="Times New Roman" w:eastAsia="仿宋_GB2312"/>
          <w:color w:val="000000"/>
          <w:sz w:val="30"/>
          <w:szCs w:val="30"/>
        </w:rPr>
        <w:t>根据</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承包人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）与</w:t>
      </w:r>
    </w:p>
    <w:p w14:paraId="409A105A">
      <w:pPr>
        <w:spacing w:line="360" w:lineRule="auto"/>
        <w:outlineLvl w:val="0"/>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（发包人名称）（以下简称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w:t>
      </w:r>
    </w:p>
    <w:p w14:paraId="1C2F8E9A">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（工程名称）《建设工程施工合同》，承包人按约定的金额向</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提交一份预付款担保，即有权得到</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支付相等金额的预付款。我方愿意就你方提供给承包人的预付款</w:t>
      </w:r>
      <w:r>
        <w:rPr>
          <w:rFonts w:hint="eastAsia" w:ascii="Times New Roman" w:hAnsi="Times New Roman" w:eastAsia="仿宋_GB2312"/>
          <w:color w:val="000000"/>
          <w:sz w:val="30"/>
          <w:szCs w:val="30"/>
        </w:rPr>
        <w:t>为承包人</w:t>
      </w:r>
      <w:r>
        <w:rPr>
          <w:rFonts w:ascii="Times New Roman" w:hAnsi="Times New Roman" w:eastAsia="仿宋_GB2312"/>
          <w:color w:val="000000"/>
          <w:sz w:val="30"/>
          <w:szCs w:val="30"/>
        </w:rPr>
        <w:t>提供连带责任担保。</w:t>
      </w:r>
    </w:p>
    <w:p w14:paraId="78051ECB">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担保金额人民币（大写）</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rPr>
        <w:t>元</w:t>
      </w:r>
      <w:r>
        <w:rPr>
          <w:rFonts w:ascii="Times New Roman" w:hAnsi="Times New Roman" w:eastAsia="仿宋_GB2312"/>
          <w:color w:val="000000"/>
          <w:sz w:val="30"/>
          <w:szCs w:val="30"/>
        </w:rPr>
        <w:t>（¥</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74DEB764">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担保有效期自预付款支付给承包人起生效，至</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签发的</w:t>
      </w:r>
      <w:r>
        <w:rPr>
          <w:rFonts w:hint="eastAsia" w:ascii="Times New Roman" w:hAnsi="Times New Roman" w:eastAsia="仿宋_GB2312"/>
          <w:color w:val="000000"/>
          <w:sz w:val="30"/>
          <w:szCs w:val="30"/>
        </w:rPr>
        <w:t>进</w:t>
      </w:r>
      <w:r>
        <w:rPr>
          <w:rFonts w:ascii="Times New Roman" w:hAnsi="Times New Roman" w:eastAsia="仿宋_GB2312"/>
          <w:color w:val="000000"/>
          <w:sz w:val="30"/>
          <w:szCs w:val="30"/>
        </w:rPr>
        <w:t>度款支付证书说明已完全扣清止。</w:t>
      </w:r>
    </w:p>
    <w:p w14:paraId="2C58BBE2">
      <w:pPr>
        <w:spacing w:line="360" w:lineRule="auto"/>
        <w:ind w:firstLine="600" w:firstLineChars="200"/>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在本保函有效期内，因承包人违反合同约定的义务而要求</w:t>
      </w:r>
      <w:r>
        <w:rPr>
          <w:rFonts w:hint="eastAsia" w:ascii="Times New Roman" w:hAnsi="Times New Roman" w:eastAsia="仿宋_GB2312"/>
          <w:color w:val="000000"/>
          <w:sz w:val="30"/>
          <w:szCs w:val="30"/>
        </w:rPr>
        <w:t>收</w:t>
      </w:r>
      <w:r>
        <w:rPr>
          <w:rFonts w:ascii="Times New Roman" w:hAnsi="Times New Roman" w:eastAsia="仿宋_GB2312"/>
          <w:color w:val="000000"/>
          <w:sz w:val="30"/>
          <w:szCs w:val="30"/>
        </w:rPr>
        <w:t>回预付款时，我方在收到你方的书面通知后，在７天内无条件支付。但本保函的担保金额，在任何时候不应超过预付款金额减去</w:t>
      </w:r>
      <w:r>
        <w:rPr>
          <w:rFonts w:hint="eastAsia" w:ascii="Times New Roman" w:hAnsi="Times New Roman" w:eastAsia="仿宋_GB2312"/>
          <w:color w:val="000000"/>
          <w:sz w:val="30"/>
          <w:szCs w:val="30"/>
        </w:rPr>
        <w:t>你方</w:t>
      </w:r>
      <w:r>
        <w:rPr>
          <w:rFonts w:ascii="Times New Roman" w:hAnsi="Times New Roman" w:eastAsia="仿宋_GB2312"/>
          <w:color w:val="000000"/>
          <w:sz w:val="30"/>
          <w:szCs w:val="30"/>
        </w:rPr>
        <w:t>按合同约定在向承包人签发的进度款支付证书中扣除的金额。</w:t>
      </w:r>
    </w:p>
    <w:p w14:paraId="3196D020">
      <w:pPr>
        <w:spacing w:line="360" w:lineRule="auto"/>
        <w:ind w:firstLine="600" w:firstLineChars="200"/>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4. 你方</w:t>
      </w:r>
      <w:r>
        <w:rPr>
          <w:rFonts w:ascii="Times New Roman" w:hAnsi="Times New Roman" w:eastAsia="仿宋_GB2312"/>
          <w:color w:val="000000"/>
          <w:sz w:val="30"/>
          <w:szCs w:val="30"/>
        </w:rPr>
        <w:t>和承包人按合同约定变更合同时，我方承担本保函规定的义务不变。</w:t>
      </w:r>
    </w:p>
    <w:p w14:paraId="2F770F24">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因本保函发生的纠纷，可由双方协商解决，协商不成的，任何一方均可提请</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仲裁委员会仲裁。</w:t>
      </w:r>
    </w:p>
    <w:p w14:paraId="0F3BBF0C">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6. </w:t>
      </w:r>
      <w:r>
        <w:rPr>
          <w:rFonts w:ascii="Times New Roman" w:hAnsi="Times New Roman" w:eastAsia="仿宋_GB2312"/>
          <w:color w:val="000000"/>
          <w:sz w:val="30"/>
          <w:szCs w:val="30"/>
        </w:rPr>
        <w:t>本保函自我方法定代表人（或其授权代理人）签字并加盖公章之日起生效。</w:t>
      </w:r>
    </w:p>
    <w:p w14:paraId="2D9BB6E5">
      <w:pPr>
        <w:spacing w:line="360" w:lineRule="auto"/>
        <w:rPr>
          <w:rFonts w:hint="eastAsia" w:ascii="Times New Roman" w:hAnsi="Times New Roman" w:eastAsia="仿宋_GB2312"/>
          <w:color w:val="000000"/>
          <w:sz w:val="30"/>
          <w:szCs w:val="30"/>
        </w:rPr>
      </w:pPr>
    </w:p>
    <w:p w14:paraId="5ADD9FAC">
      <w:pPr>
        <w:spacing w:line="360" w:lineRule="auto"/>
        <w:rPr>
          <w:rFonts w:hint="eastAsia" w:ascii="Times New Roman" w:hAnsi="Times New Roman" w:eastAsia="仿宋_GB2312"/>
          <w:color w:val="000000"/>
          <w:sz w:val="30"/>
          <w:szCs w:val="30"/>
        </w:rPr>
      </w:pPr>
    </w:p>
    <w:p w14:paraId="2F7A1DED">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（盖单位章）</w:t>
      </w:r>
    </w:p>
    <w:p w14:paraId="43B68641">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法定代表人或其委托代理人：</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4C2C28D3">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45B5192E">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59711703">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电    话：</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51FAAB63">
      <w:pPr>
        <w:spacing w:line="360" w:lineRule="auto"/>
        <w:rPr>
          <w:rFonts w:ascii="Times New Roman" w:hAnsi="Times New Roman" w:eastAsia="仿宋_GB2312"/>
          <w:color w:val="000000"/>
          <w:sz w:val="30"/>
          <w:szCs w:val="30"/>
          <w:u w:val="single"/>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r>
        <w:rPr>
          <w:rFonts w:ascii="Times New Roman" w:hAnsi="Times New Roman" w:eastAsia="仿宋_GB2312"/>
          <w:color w:val="000000"/>
          <w:sz w:val="30"/>
          <w:szCs w:val="30"/>
          <w:u w:val="single"/>
        </w:rPr>
        <w:tab/>
      </w:r>
    </w:p>
    <w:p w14:paraId="77E77B9B">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p>
    <w:p w14:paraId="119A110C">
      <w:pPr>
        <w:spacing w:line="360" w:lineRule="auto"/>
        <w:rPr>
          <w:rFonts w:ascii="Times New Roman" w:hAnsi="Times New Roman" w:eastAsia="仿宋_GB2312"/>
          <w:color w:val="000000"/>
          <w:sz w:val="30"/>
          <w:szCs w:val="30"/>
          <w:u w:val="single"/>
        </w:rPr>
      </w:pPr>
    </w:p>
    <w:p w14:paraId="204C72BE">
      <w:pPr>
        <w:spacing w:line="360" w:lineRule="auto"/>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462E62A5">
      <w:pPr>
        <w:spacing w:line="440" w:lineRule="exact"/>
        <w:rPr>
          <w:rFonts w:ascii="Times New Roman" w:hAnsi="Times New Roman" w:eastAsia="黑体"/>
          <w:color w:val="000000"/>
          <w:sz w:val="30"/>
          <w:szCs w:val="30"/>
        </w:rPr>
      </w:pPr>
      <w:r>
        <w:rPr>
          <w:rFonts w:ascii="Times New Roman" w:hAnsi="Times New Roman" w:eastAsia="仿宋_GB2312"/>
          <w:b/>
          <w:color w:val="000000"/>
          <w:sz w:val="30"/>
          <w:szCs w:val="30"/>
        </w:rPr>
        <w:br w:type="page"/>
      </w:r>
      <w:r>
        <w:rPr>
          <w:rFonts w:ascii="Times New Roman" w:hAnsi="Times New Roman" w:eastAsia="仿宋_GB2312"/>
          <w:color w:val="000000"/>
          <w:sz w:val="30"/>
          <w:szCs w:val="30"/>
        </w:rPr>
        <w:t>附</w:t>
      </w:r>
      <w:bookmarkStart w:id="1033" w:name="_Toc296347232"/>
      <w:bookmarkStart w:id="1034" w:name="_Toc296503233"/>
      <w:bookmarkStart w:id="1035" w:name="_Toc296346734"/>
      <w:bookmarkStart w:id="1036" w:name="_Toc296891061"/>
      <w:bookmarkStart w:id="1037" w:name="_Toc296944572"/>
      <w:bookmarkStart w:id="1038" w:name="_Toc296891273"/>
      <w:r>
        <w:rPr>
          <w:rFonts w:ascii="Times New Roman" w:hAnsi="Times New Roman" w:eastAsia="仿宋_GB2312"/>
          <w:color w:val="000000"/>
          <w:sz w:val="30"/>
          <w:szCs w:val="30"/>
        </w:rPr>
        <w:t xml:space="preserve">件10: </w:t>
      </w:r>
      <w:r>
        <w:rPr>
          <w:rFonts w:ascii="Times New Roman" w:hAnsi="Times New Roman" w:eastAsia="黑体"/>
          <w:color w:val="000000"/>
          <w:sz w:val="30"/>
          <w:szCs w:val="30"/>
        </w:rPr>
        <w:t xml:space="preserve"> </w:t>
      </w:r>
    </w:p>
    <w:bookmarkEnd w:id="1033"/>
    <w:bookmarkEnd w:id="1034"/>
    <w:bookmarkEnd w:id="1035"/>
    <w:bookmarkEnd w:id="1036"/>
    <w:bookmarkEnd w:id="1037"/>
    <w:bookmarkEnd w:id="1038"/>
    <w:p w14:paraId="4D5D49F9">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支付担保</w:t>
      </w:r>
    </w:p>
    <w:p w14:paraId="1FAB91E4">
      <w:pPr>
        <w:spacing w:line="440" w:lineRule="exact"/>
        <w:jc w:val="left"/>
        <w:rPr>
          <w:rFonts w:ascii="Times New Roman" w:hAnsi="Times New Roman" w:eastAsia="仿宋_GB2312"/>
          <w:color w:val="000000"/>
          <w:sz w:val="30"/>
          <w:szCs w:val="30"/>
        </w:rPr>
      </w:pP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（承包人）：</w:t>
      </w:r>
    </w:p>
    <w:p w14:paraId="7A154AA8">
      <w:pPr>
        <w:spacing w:line="440" w:lineRule="exact"/>
        <w:jc w:val="left"/>
        <w:rPr>
          <w:rFonts w:ascii="Times New Roman" w:hAnsi="Times New Roman" w:eastAsia="仿宋_GB2312"/>
          <w:color w:val="000000"/>
          <w:sz w:val="30"/>
          <w:szCs w:val="30"/>
        </w:rPr>
      </w:pPr>
    </w:p>
    <w:p w14:paraId="46DED8F5">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鉴于你方作为承包人已经与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（发包人名称）（以下称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发包人</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日签订了</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（工程名称）《建设工程施工合同》（以下称</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主合同</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），应发包人的申请，我方愿就发包人履行主合同约定的工程款支付义务以保证的方式向你方提供如下担保：</w:t>
      </w:r>
    </w:p>
    <w:p w14:paraId="707A62A5">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一、保证的范围及保证金额</w:t>
      </w:r>
    </w:p>
    <w:p w14:paraId="43CC7014">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我方的保证范围是主合同约定的工程款。</w:t>
      </w:r>
    </w:p>
    <w:p w14:paraId="036F1BBE">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本保函所称主合同约定的工程款是指主合同约定的除工程质量保证金以外的合同价款。</w:t>
      </w:r>
    </w:p>
    <w:p w14:paraId="16DEA989">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我方保证的金额是主合同约定的工程款的</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%，数额最高不超过人民币元（大写：</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w:t>
      </w:r>
    </w:p>
    <w:p w14:paraId="4086809E">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二、保证的方式及保证期间</w:t>
      </w:r>
    </w:p>
    <w:p w14:paraId="0E7CD9D4">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我方保证的方式为：连带责任保证。</w:t>
      </w:r>
    </w:p>
    <w:p w14:paraId="6EA13603">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我方保证的期间为：自本合同生效之日起至主合同约定的工程款支付完毕之日后</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日内。</w:t>
      </w:r>
    </w:p>
    <w:p w14:paraId="050278E3">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你方与发包人协议变更工程款支付日期的，经我方书面同意后，保证期间按照变更后的支付日期做相应调整。</w:t>
      </w:r>
    </w:p>
    <w:p w14:paraId="74E24633">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三、承担保证责任的形式</w:t>
      </w:r>
    </w:p>
    <w:p w14:paraId="1C091E71">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我方承担保证责任的形式是代为支付。发包人未按主合同约定向你方支付工程款的，由我方在保证金额内代为支付。</w:t>
      </w:r>
    </w:p>
    <w:p w14:paraId="3DD77EC5">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四、代偿的安排</w:t>
      </w:r>
    </w:p>
    <w:p w14:paraId="0F084AAB">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你方要求我方承担保证责任的，应向我方发出书面索赔通知及发包人未支付主合同约定工程款的证明材料。索赔通知应写明要求索赔的金额，支付款项应到达的账号。</w:t>
      </w:r>
    </w:p>
    <w:p w14:paraId="0EB41BA9">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在出现你方与发包人因工程质量发生争议，发包人拒绝向你方支付工程款的情形时，你方要求我方履行保证责任代为支付的，需提供符合相应条件要求的工程质量检测机构出具的质量说明材料。</w:t>
      </w:r>
    </w:p>
    <w:p w14:paraId="28B5D52E">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我方收到你方的书面索赔通知及相应的证明材料后７天内无条件支付。</w:t>
      </w:r>
    </w:p>
    <w:p w14:paraId="28A246B7">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五、保证责任的解除</w:t>
      </w:r>
    </w:p>
    <w:p w14:paraId="63295714">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在本保函承诺的保证期间内，你方未书面向我方主张保证责任的，自保证期间届满次日起，我方保证责任解除。</w:t>
      </w:r>
    </w:p>
    <w:p w14:paraId="761116B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发包人按主合同约定履行了工程款的全部支付义务的，自本保函承诺的保证期间届满次日起，我方保证责任解除。</w:t>
      </w:r>
    </w:p>
    <w:p w14:paraId="73CA0E84">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我方按照本保函向你方履行保证责任所支付金额达到本保函保证金额时，自我方向你方支付（支付款项从我方账户划出）之日起，保证责任即解除。</w:t>
      </w:r>
    </w:p>
    <w:p w14:paraId="71029DA3">
      <w:pPr>
        <w:spacing w:line="360" w:lineRule="auto"/>
        <w:ind w:firstLine="600" w:firstLineChars="200"/>
        <w:jc w:val="left"/>
        <w:rPr>
          <w:rFonts w:hint="eastAsia"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按照法律法规的规定或出现应解除我方保证责任的其他情形的，我方在本保函项下的保证责任亦解除。</w:t>
      </w:r>
    </w:p>
    <w:p w14:paraId="2F6BDFEE">
      <w:pPr>
        <w:spacing w:line="360" w:lineRule="auto"/>
        <w:jc w:val="left"/>
        <w:rPr>
          <w:rFonts w:hint="eastAsia" w:ascii="Times New Roman" w:hAnsi="Times New Roman" w:eastAsia="仿宋_GB2312"/>
          <w:color w:val="000000"/>
          <w:sz w:val="30"/>
          <w:szCs w:val="30"/>
        </w:rPr>
      </w:pPr>
    </w:p>
    <w:p w14:paraId="2F3FFF65">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5. </w:t>
      </w:r>
      <w:r>
        <w:rPr>
          <w:rFonts w:ascii="Times New Roman" w:hAnsi="Times New Roman" w:eastAsia="仿宋_GB2312"/>
          <w:color w:val="000000"/>
          <w:sz w:val="30"/>
          <w:szCs w:val="30"/>
        </w:rPr>
        <w:t>我方解除保证责任后，你方应自我方保证责任解除之日起</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个工作日内，将本保函原件返还我方。</w:t>
      </w:r>
    </w:p>
    <w:p w14:paraId="7DE42A18">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六、免责条款</w:t>
      </w:r>
    </w:p>
    <w:p w14:paraId="22114E3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1. </w:t>
      </w:r>
      <w:r>
        <w:rPr>
          <w:rFonts w:ascii="Times New Roman" w:hAnsi="Times New Roman" w:eastAsia="仿宋_GB2312"/>
          <w:color w:val="000000"/>
          <w:sz w:val="30"/>
          <w:szCs w:val="30"/>
        </w:rPr>
        <w:t>因你方违约致使发包人不能履行义务的，我方不承担保证责任。</w:t>
      </w:r>
    </w:p>
    <w:p w14:paraId="3E02C826">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2. </w:t>
      </w:r>
      <w:r>
        <w:rPr>
          <w:rFonts w:ascii="Times New Roman" w:hAnsi="Times New Roman" w:eastAsia="仿宋_GB2312"/>
          <w:color w:val="000000"/>
          <w:sz w:val="30"/>
          <w:szCs w:val="30"/>
        </w:rPr>
        <w:t>依照法律法规的规定或你方与发包人的另行约定，免除发包人部分或全部义务的，我方亦免除其相应的保证责任。</w:t>
      </w:r>
    </w:p>
    <w:p w14:paraId="1B0F8112">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3. </w:t>
      </w:r>
      <w:r>
        <w:rPr>
          <w:rFonts w:ascii="Times New Roman" w:hAnsi="Times New Roman" w:eastAsia="仿宋_GB2312"/>
          <w:color w:val="000000"/>
          <w:sz w:val="30"/>
          <w:szCs w:val="30"/>
        </w:rPr>
        <w:t>你方与发包人协议变更主合同的，如加重发包人责任致使我方保证责任加重的，需征得我方书面同意，否则我方不再承担因此而加重部分的保证责任，但主合同第10条</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变更</w:t>
      </w:r>
      <w:r>
        <w:rPr>
          <w:rFonts w:hint="eastAsia" w:ascii="Times New Roman" w:hAnsi="Times New Roman" w:eastAsia="仿宋_GB2312"/>
          <w:color w:val="000000"/>
          <w:sz w:val="30"/>
          <w:szCs w:val="30"/>
        </w:rPr>
        <w:t>〕</w:t>
      </w:r>
      <w:r>
        <w:rPr>
          <w:rFonts w:ascii="Times New Roman" w:hAnsi="Times New Roman" w:eastAsia="仿宋_GB2312"/>
          <w:color w:val="000000"/>
          <w:sz w:val="30"/>
          <w:szCs w:val="30"/>
        </w:rPr>
        <w:t>约定的变更不受本款限制。</w:t>
      </w:r>
    </w:p>
    <w:p w14:paraId="021BF3AF">
      <w:pPr>
        <w:spacing w:line="360" w:lineRule="auto"/>
        <w:ind w:firstLine="600" w:firstLineChars="200"/>
        <w:jc w:val="left"/>
        <w:rPr>
          <w:rFonts w:ascii="Times New Roman" w:hAnsi="Times New Roman" w:eastAsia="仿宋_GB2312"/>
          <w:color w:val="000000"/>
          <w:sz w:val="30"/>
          <w:szCs w:val="30"/>
        </w:rPr>
      </w:pPr>
      <w:r>
        <w:rPr>
          <w:rFonts w:hint="eastAsia" w:ascii="Times New Roman" w:hAnsi="Times New Roman" w:eastAsia="仿宋_GB2312"/>
          <w:color w:val="000000"/>
          <w:sz w:val="30"/>
          <w:szCs w:val="30"/>
        </w:rPr>
        <w:t xml:space="preserve">4. </w:t>
      </w:r>
      <w:r>
        <w:rPr>
          <w:rFonts w:ascii="Times New Roman" w:hAnsi="Times New Roman" w:eastAsia="仿宋_GB2312"/>
          <w:color w:val="000000"/>
          <w:sz w:val="30"/>
          <w:szCs w:val="30"/>
        </w:rPr>
        <w:t>因不可抗力造成发包人不能履行义务的，我方不承担保证责任。</w:t>
      </w:r>
    </w:p>
    <w:p w14:paraId="208F6553">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七、争议解决</w:t>
      </w:r>
    </w:p>
    <w:p w14:paraId="39041D6E">
      <w:pPr>
        <w:spacing w:after="120" w:line="360" w:lineRule="auto"/>
        <w:ind w:firstLine="600" w:firstLineChars="200"/>
        <w:rPr>
          <w:rFonts w:ascii="Times New Roman" w:hAnsi="Times New Roman" w:eastAsia="黑体"/>
          <w:color w:val="000000"/>
          <w:sz w:val="30"/>
          <w:szCs w:val="32"/>
        </w:rPr>
      </w:pPr>
      <w:r>
        <w:rPr>
          <w:rFonts w:ascii="Times New Roman" w:hAnsi="Times New Roman" w:eastAsia="仿宋_GB2312"/>
          <w:color w:val="000000"/>
          <w:sz w:val="30"/>
          <w:szCs w:val="30"/>
        </w:rPr>
        <w:t>因本保函</w:t>
      </w:r>
      <w:r>
        <w:rPr>
          <w:rFonts w:hint="eastAsia" w:ascii="Times New Roman" w:hAnsi="Times New Roman" w:eastAsia="仿宋_GB2312"/>
          <w:color w:val="000000"/>
          <w:sz w:val="30"/>
          <w:szCs w:val="30"/>
        </w:rPr>
        <w:t>或本保函相关事项</w:t>
      </w:r>
      <w:r>
        <w:rPr>
          <w:rFonts w:ascii="Times New Roman" w:hAnsi="Times New Roman" w:eastAsia="仿宋_GB2312"/>
          <w:color w:val="000000"/>
          <w:sz w:val="30"/>
          <w:szCs w:val="30"/>
        </w:rPr>
        <w:t>发生的纠纷，可由双方协商解决，协商不成的，</w:t>
      </w:r>
      <w:r>
        <w:rPr>
          <w:rFonts w:ascii="Times New Roman" w:hAnsi="Times New Roman" w:eastAsia="仿宋_GB2312"/>
          <w:color w:val="000000"/>
          <w:sz w:val="30"/>
          <w:szCs w:val="32"/>
        </w:rPr>
        <w:t>按下列第</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种方式</w:t>
      </w:r>
      <w:r>
        <w:rPr>
          <w:rFonts w:hint="eastAsia" w:ascii="Times New Roman" w:hAnsi="Times New Roman" w:eastAsia="仿宋_GB2312"/>
          <w:color w:val="000000"/>
          <w:sz w:val="30"/>
          <w:szCs w:val="32"/>
        </w:rPr>
        <w:t>解</w:t>
      </w:r>
      <w:r>
        <w:rPr>
          <w:rFonts w:ascii="Times New Roman" w:hAnsi="Times New Roman" w:eastAsia="仿宋_GB2312"/>
          <w:color w:val="000000"/>
          <w:sz w:val="30"/>
          <w:szCs w:val="32"/>
        </w:rPr>
        <w:t>决：</w:t>
      </w:r>
    </w:p>
    <w:p w14:paraId="77AD26F3">
      <w:pPr>
        <w:spacing w:line="360" w:lineRule="auto"/>
        <w:ind w:firstLine="600" w:firstLineChars="200"/>
        <w:jc w:val="left"/>
        <w:rPr>
          <w:rFonts w:ascii="Times New Roman" w:hAnsi="Times New Roman" w:eastAsia="仿宋_GB2312"/>
          <w:color w:val="000000"/>
          <w:sz w:val="30"/>
          <w:szCs w:val="32"/>
        </w:rPr>
      </w:pPr>
      <w:r>
        <w:rPr>
          <w:rFonts w:ascii="Times New Roman" w:hAnsi="Times New Roman" w:eastAsia="仿宋_GB2312"/>
          <w:color w:val="000000"/>
          <w:sz w:val="30"/>
          <w:szCs w:val="32"/>
        </w:rPr>
        <w:t>（1）向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仲裁委员会申请仲裁；</w:t>
      </w:r>
    </w:p>
    <w:p w14:paraId="33B049E8">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2"/>
        </w:rPr>
        <w:t>（2）向</w:t>
      </w:r>
      <w:r>
        <w:rPr>
          <w:rFonts w:ascii="Times New Roman" w:hAnsi="Times New Roman" w:eastAsia="仿宋_GB2312"/>
          <w:color w:val="000000"/>
          <w:sz w:val="30"/>
          <w:szCs w:val="32"/>
          <w:u w:val="single"/>
        </w:rPr>
        <w:t xml:space="preserve">                     </w:t>
      </w:r>
      <w:r>
        <w:rPr>
          <w:rFonts w:ascii="Times New Roman" w:hAnsi="Times New Roman" w:eastAsia="仿宋_GB2312"/>
          <w:color w:val="000000"/>
          <w:sz w:val="30"/>
          <w:szCs w:val="32"/>
        </w:rPr>
        <w:t>人民法院起诉。</w:t>
      </w:r>
    </w:p>
    <w:p w14:paraId="3F3D8723">
      <w:pPr>
        <w:spacing w:line="360" w:lineRule="auto"/>
        <w:ind w:firstLine="600" w:firstLineChars="200"/>
        <w:jc w:val="left"/>
        <w:outlineLvl w:val="0"/>
        <w:rPr>
          <w:rFonts w:ascii="Times New Roman" w:hAnsi="Times New Roman" w:eastAsia="黑体"/>
          <w:color w:val="000000"/>
          <w:sz w:val="30"/>
          <w:szCs w:val="30"/>
        </w:rPr>
      </w:pPr>
      <w:r>
        <w:rPr>
          <w:rFonts w:ascii="Times New Roman" w:hAnsi="Times New Roman" w:eastAsia="黑体"/>
          <w:color w:val="000000"/>
          <w:sz w:val="30"/>
          <w:szCs w:val="30"/>
        </w:rPr>
        <w:t>八、保函的生效</w:t>
      </w:r>
    </w:p>
    <w:p w14:paraId="3EB7188A">
      <w:pPr>
        <w:spacing w:line="360" w:lineRule="auto"/>
        <w:ind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本保函自我方法定代表人（或其授权代理人）签字并加盖公章之日起生效。</w:t>
      </w:r>
    </w:p>
    <w:p w14:paraId="11A20FDD">
      <w:pPr>
        <w:spacing w:line="360" w:lineRule="auto"/>
        <w:ind w:firstLine="600" w:firstLineChars="200"/>
        <w:jc w:val="left"/>
        <w:rPr>
          <w:rFonts w:hint="eastAsia" w:ascii="Times New Roman" w:hAnsi="Times New Roman" w:eastAsia="仿宋_GB2312"/>
          <w:color w:val="000000"/>
          <w:sz w:val="30"/>
          <w:szCs w:val="30"/>
        </w:rPr>
      </w:pPr>
    </w:p>
    <w:p w14:paraId="70485646">
      <w:pPr>
        <w:spacing w:line="360" w:lineRule="auto"/>
        <w:ind w:right="600"/>
        <w:jc w:val="left"/>
        <w:rPr>
          <w:rFonts w:hint="eastAsia" w:ascii="Times New Roman" w:hAnsi="Times New Roman" w:eastAsia="仿宋_GB2312"/>
          <w:color w:val="000000"/>
          <w:sz w:val="30"/>
          <w:szCs w:val="30"/>
        </w:rPr>
      </w:pPr>
    </w:p>
    <w:p w14:paraId="0921512D">
      <w:pPr>
        <w:spacing w:line="360" w:lineRule="auto"/>
        <w:ind w:right="6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担保人：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（盖章）</w:t>
      </w:r>
    </w:p>
    <w:p w14:paraId="1AF763A2">
      <w:pPr>
        <w:spacing w:line="360" w:lineRule="auto"/>
        <w:ind w:right="1200"/>
        <w:rPr>
          <w:rFonts w:ascii="Times New Roman" w:hAnsi="Times New Roman" w:eastAsia="仿宋_GB2312"/>
          <w:color w:val="000000"/>
          <w:sz w:val="30"/>
          <w:szCs w:val="30"/>
        </w:rPr>
      </w:pPr>
      <w:r>
        <w:rPr>
          <w:rFonts w:ascii="Times New Roman" w:hAnsi="Times New Roman" w:eastAsia="仿宋_GB2312"/>
          <w:color w:val="000000"/>
          <w:sz w:val="30"/>
          <w:szCs w:val="30"/>
        </w:rPr>
        <w:t>法定代表人或委托代理人：</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（签字）</w:t>
      </w:r>
    </w:p>
    <w:p w14:paraId="6F7CBA5D">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地    址：</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1E6E1A6C">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邮政编码：</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5B81AEE1">
      <w:pPr>
        <w:spacing w:line="360" w:lineRule="auto"/>
        <w:jc w:val="left"/>
        <w:rPr>
          <w:rFonts w:ascii="Times New Roman" w:hAnsi="Times New Roman" w:eastAsia="仿宋_GB2312"/>
          <w:color w:val="000000"/>
          <w:sz w:val="30"/>
          <w:szCs w:val="30"/>
        </w:rPr>
      </w:pPr>
      <w:r>
        <w:rPr>
          <w:rFonts w:ascii="Times New Roman" w:hAnsi="Times New Roman" w:eastAsia="仿宋_GB2312"/>
          <w:color w:val="000000"/>
          <w:sz w:val="30"/>
          <w:szCs w:val="30"/>
        </w:rPr>
        <w:t>传    真：</w:t>
      </w:r>
      <w:r>
        <w:rPr>
          <w:rFonts w:ascii="Times New Roman" w:hAnsi="Times New Roman" w:eastAsia="仿宋_GB2312"/>
          <w:color w:val="000000"/>
          <w:sz w:val="30"/>
          <w:szCs w:val="30"/>
          <w:u w:val="single"/>
        </w:rPr>
        <w:t xml:space="preserve">      </w:t>
      </w:r>
      <w:r>
        <w:rPr>
          <w:rFonts w:hint="eastAsia"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u w:val="single"/>
        </w:rPr>
        <w:t xml:space="preserve">                          </w:t>
      </w:r>
    </w:p>
    <w:p w14:paraId="0CE984DA">
      <w:pPr>
        <w:spacing w:line="360" w:lineRule="auto"/>
        <w:ind w:right="150" w:firstLine="600" w:firstLineChars="200"/>
        <w:jc w:val="left"/>
        <w:rPr>
          <w:rFonts w:ascii="Times New Roman" w:hAnsi="Times New Roman" w:eastAsia="仿宋_GB2312"/>
          <w:color w:val="000000"/>
          <w:sz w:val="30"/>
          <w:szCs w:val="30"/>
          <w:u w:val="single"/>
        </w:rPr>
      </w:pPr>
    </w:p>
    <w:p w14:paraId="5BFE89BB">
      <w:pPr>
        <w:spacing w:line="360" w:lineRule="auto"/>
        <w:ind w:right="150" w:firstLine="600" w:firstLineChars="200"/>
        <w:jc w:val="left"/>
        <w:rPr>
          <w:rFonts w:ascii="Times New Roman" w:hAnsi="Times New Roman" w:eastAsia="仿宋_GB2312"/>
          <w:color w:val="000000"/>
          <w:sz w:val="30"/>
          <w:szCs w:val="30"/>
        </w:rPr>
      </w:pPr>
      <w:r>
        <w:rPr>
          <w:rFonts w:ascii="Times New Roman" w:hAnsi="Times New Roman" w:eastAsia="仿宋_GB2312"/>
          <w:color w:val="000000"/>
          <w:sz w:val="30"/>
          <w:szCs w:val="30"/>
        </w:rPr>
        <w:t xml:space="preserve">             </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年</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月</w:t>
      </w:r>
      <w:r>
        <w:rPr>
          <w:rFonts w:ascii="Times New Roman" w:hAnsi="Times New Roman" w:eastAsia="仿宋_GB2312"/>
          <w:color w:val="000000"/>
          <w:sz w:val="30"/>
          <w:szCs w:val="30"/>
          <w:u w:val="single"/>
        </w:rPr>
        <w:t xml:space="preserve">      </w:t>
      </w:r>
      <w:r>
        <w:rPr>
          <w:rFonts w:ascii="Times New Roman" w:hAnsi="Times New Roman" w:eastAsia="仿宋_GB2312"/>
          <w:color w:val="000000"/>
          <w:sz w:val="30"/>
          <w:szCs w:val="30"/>
        </w:rPr>
        <w:t>日</w:t>
      </w:r>
    </w:p>
    <w:p w14:paraId="1C86BC47">
      <w:pPr>
        <w:spacing w:line="440" w:lineRule="exact"/>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仿宋_GB2312"/>
          <w:color w:val="000000"/>
          <w:sz w:val="30"/>
          <w:szCs w:val="30"/>
        </w:rPr>
        <w:t>附件11：</w:t>
      </w:r>
    </w:p>
    <w:p w14:paraId="2E0EC0EA">
      <w:pPr>
        <w:spacing w:before="156" w:beforeLines="50" w:after="156" w:afterLines="50" w:line="440" w:lineRule="exact"/>
        <w:jc w:val="center"/>
        <w:outlineLvl w:val="0"/>
        <w:rPr>
          <w:rFonts w:ascii="Times New Roman" w:hAnsi="Times New Roman" w:eastAsia="黑体"/>
          <w:color w:val="000000"/>
          <w:sz w:val="30"/>
          <w:szCs w:val="30"/>
        </w:rPr>
      </w:pPr>
      <w:r>
        <w:rPr>
          <w:rFonts w:ascii="Times New Roman" w:hAnsi="Times New Roman" w:eastAsia="黑体"/>
          <w:color w:val="000000"/>
          <w:sz w:val="30"/>
          <w:szCs w:val="30"/>
        </w:rPr>
        <w:t>11-1：材料暂估价表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1E1969E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14:paraId="07A952A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46FD35B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28E3A3A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1E0D0F0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7AC2C14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23BBDA87">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22186CCD">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0240287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14:paraId="2FF06CD1">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180D5188">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33AB825F">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544569FF">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45803BEA">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7DD1A735">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5A615AB1">
            <w:pPr>
              <w:pStyle w:val="16"/>
              <w:keepNext/>
              <w:spacing w:after="0" w:line="440" w:lineRule="exact"/>
              <w:ind w:left="63" w:right="63"/>
              <w:rPr>
                <w:rFonts w:eastAsia="仿宋_GB2312"/>
                <w:color w:val="000000"/>
                <w:kern w:val="2"/>
                <w:sz w:val="28"/>
                <w:szCs w:val="30"/>
                <w:lang w:val="en-US" w:eastAsia="zh-CN"/>
              </w:rPr>
            </w:pPr>
          </w:p>
        </w:tc>
      </w:tr>
      <w:tr w14:paraId="69E487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14:paraId="542256AD">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5C12CA76">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3D41E6E1">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22D022E6">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672338B3">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7E484121">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3F0886E8">
            <w:pPr>
              <w:pStyle w:val="16"/>
              <w:keepNext/>
              <w:spacing w:after="0" w:line="440" w:lineRule="exact"/>
              <w:ind w:left="63" w:right="63"/>
              <w:rPr>
                <w:rFonts w:eastAsia="仿宋_GB2312"/>
                <w:color w:val="000000"/>
                <w:kern w:val="2"/>
                <w:sz w:val="28"/>
                <w:szCs w:val="30"/>
                <w:lang w:val="en-US" w:eastAsia="zh-CN"/>
              </w:rPr>
            </w:pPr>
          </w:p>
        </w:tc>
      </w:tr>
      <w:tr w14:paraId="7AE3E80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6BEC3F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45EDEE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0431A5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F50D3E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3E2859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3F5BE8F">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CC6B461">
            <w:pPr>
              <w:pStyle w:val="16"/>
              <w:keepNext/>
              <w:spacing w:after="0" w:line="440" w:lineRule="exact"/>
              <w:ind w:left="63" w:right="63"/>
              <w:rPr>
                <w:rFonts w:eastAsia="仿宋_GB2312"/>
                <w:color w:val="000000"/>
                <w:kern w:val="2"/>
                <w:sz w:val="28"/>
                <w:szCs w:val="30"/>
                <w:lang w:val="en-US" w:eastAsia="zh-CN"/>
              </w:rPr>
            </w:pPr>
          </w:p>
        </w:tc>
      </w:tr>
      <w:tr w14:paraId="6AC156A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199A2F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ECBDA4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842A8A5">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100B26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5513F3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429490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E4A4821">
            <w:pPr>
              <w:pStyle w:val="16"/>
              <w:keepNext/>
              <w:spacing w:after="0" w:line="440" w:lineRule="exact"/>
              <w:ind w:left="63" w:right="63"/>
              <w:rPr>
                <w:rFonts w:eastAsia="仿宋_GB2312"/>
                <w:color w:val="000000"/>
                <w:kern w:val="2"/>
                <w:sz w:val="28"/>
                <w:szCs w:val="30"/>
                <w:lang w:val="en-US" w:eastAsia="zh-CN"/>
              </w:rPr>
            </w:pPr>
          </w:p>
        </w:tc>
      </w:tr>
      <w:tr w14:paraId="6142768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4E744D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5102A2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76DDE2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F06A1D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2A43065">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3CAEA8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6F210E1">
            <w:pPr>
              <w:pStyle w:val="16"/>
              <w:keepNext/>
              <w:spacing w:after="0" w:line="440" w:lineRule="exact"/>
              <w:ind w:left="63" w:right="63"/>
              <w:rPr>
                <w:rFonts w:eastAsia="仿宋_GB2312"/>
                <w:color w:val="000000"/>
                <w:kern w:val="2"/>
                <w:sz w:val="28"/>
                <w:szCs w:val="30"/>
                <w:lang w:val="en-US" w:eastAsia="zh-CN"/>
              </w:rPr>
            </w:pPr>
          </w:p>
        </w:tc>
      </w:tr>
      <w:tr w14:paraId="6C8F5EC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E542A5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D8B0EA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9FB761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F46B54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DC9014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8F1131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5690DD0">
            <w:pPr>
              <w:pStyle w:val="16"/>
              <w:keepNext/>
              <w:spacing w:after="0" w:line="440" w:lineRule="exact"/>
              <w:ind w:left="63" w:right="63"/>
              <w:rPr>
                <w:rFonts w:eastAsia="仿宋_GB2312"/>
                <w:color w:val="000000"/>
                <w:kern w:val="2"/>
                <w:sz w:val="28"/>
                <w:szCs w:val="30"/>
                <w:lang w:val="en-US" w:eastAsia="zh-CN"/>
              </w:rPr>
            </w:pPr>
          </w:p>
        </w:tc>
      </w:tr>
      <w:tr w14:paraId="788D49E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C96A2D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58F5F8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3EB231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42F62A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D7FE53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1AADC1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586CCDA">
            <w:pPr>
              <w:pStyle w:val="16"/>
              <w:keepNext/>
              <w:spacing w:after="0" w:line="440" w:lineRule="exact"/>
              <w:ind w:left="63" w:right="63"/>
              <w:rPr>
                <w:rFonts w:eastAsia="仿宋_GB2312"/>
                <w:color w:val="000000"/>
                <w:kern w:val="2"/>
                <w:sz w:val="28"/>
                <w:szCs w:val="30"/>
                <w:lang w:val="en-US" w:eastAsia="zh-CN"/>
              </w:rPr>
            </w:pPr>
          </w:p>
        </w:tc>
      </w:tr>
      <w:tr w14:paraId="193616F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68ED9F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4224C1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EAFF0F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CFFB5D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BA15EE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3BF15F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A05C968">
            <w:pPr>
              <w:pStyle w:val="16"/>
              <w:keepNext/>
              <w:spacing w:after="0" w:line="440" w:lineRule="exact"/>
              <w:ind w:left="63" w:right="63"/>
              <w:rPr>
                <w:rFonts w:eastAsia="仿宋_GB2312"/>
                <w:color w:val="000000"/>
                <w:kern w:val="2"/>
                <w:sz w:val="28"/>
                <w:szCs w:val="30"/>
                <w:lang w:val="en-US" w:eastAsia="zh-CN"/>
              </w:rPr>
            </w:pPr>
          </w:p>
        </w:tc>
      </w:tr>
      <w:tr w14:paraId="00AA4F4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A6AEC1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97D3D6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25D3397">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7B1FAA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CB2923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14AA1B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70B7264">
            <w:pPr>
              <w:pStyle w:val="16"/>
              <w:keepNext/>
              <w:spacing w:after="0" w:line="440" w:lineRule="exact"/>
              <w:ind w:left="63" w:right="63"/>
              <w:rPr>
                <w:rFonts w:eastAsia="仿宋_GB2312"/>
                <w:color w:val="000000"/>
                <w:kern w:val="2"/>
                <w:sz w:val="28"/>
                <w:szCs w:val="30"/>
                <w:lang w:val="en-US" w:eastAsia="zh-CN"/>
              </w:rPr>
            </w:pPr>
          </w:p>
        </w:tc>
      </w:tr>
      <w:tr w14:paraId="25CD5E3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D3808D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BFC95BE">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FD581A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74B418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513738C">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39D0878">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515E080">
            <w:pPr>
              <w:pStyle w:val="16"/>
              <w:keepNext/>
              <w:spacing w:after="0" w:line="440" w:lineRule="exact"/>
              <w:ind w:left="63" w:right="63"/>
              <w:rPr>
                <w:rFonts w:eastAsia="仿宋_GB2312"/>
                <w:color w:val="000000"/>
                <w:kern w:val="2"/>
                <w:sz w:val="28"/>
                <w:szCs w:val="30"/>
                <w:lang w:val="en-US" w:eastAsia="zh-CN"/>
              </w:rPr>
            </w:pPr>
          </w:p>
        </w:tc>
      </w:tr>
      <w:tr w14:paraId="7EA5FEF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A45AF52">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79BF29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5BDD09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0D93E8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2ABA82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F759E5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36A47D3">
            <w:pPr>
              <w:pStyle w:val="16"/>
              <w:keepNext/>
              <w:spacing w:after="0" w:line="440" w:lineRule="exact"/>
              <w:ind w:left="63" w:right="63"/>
              <w:rPr>
                <w:rFonts w:eastAsia="仿宋_GB2312"/>
                <w:color w:val="000000"/>
                <w:kern w:val="2"/>
                <w:sz w:val="28"/>
                <w:szCs w:val="30"/>
                <w:lang w:val="en-US" w:eastAsia="zh-CN"/>
              </w:rPr>
            </w:pPr>
          </w:p>
        </w:tc>
      </w:tr>
      <w:tr w14:paraId="6B5495E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A17565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E1E190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41E042D">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DF1D9E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4372D9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947BF9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09FFB75">
            <w:pPr>
              <w:pStyle w:val="16"/>
              <w:keepNext/>
              <w:spacing w:after="0" w:line="440" w:lineRule="exact"/>
              <w:ind w:left="63" w:right="63"/>
              <w:rPr>
                <w:rFonts w:eastAsia="仿宋_GB2312"/>
                <w:color w:val="000000"/>
                <w:kern w:val="2"/>
                <w:sz w:val="28"/>
                <w:szCs w:val="30"/>
                <w:lang w:val="en-US" w:eastAsia="zh-CN"/>
              </w:rPr>
            </w:pPr>
          </w:p>
        </w:tc>
      </w:tr>
      <w:tr w14:paraId="76D351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13774C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5B4268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893F3F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6868E4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69DA9AB">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F2F5AC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AD2BF1A">
            <w:pPr>
              <w:pStyle w:val="16"/>
              <w:keepNext/>
              <w:spacing w:after="0" w:line="440" w:lineRule="exact"/>
              <w:ind w:left="63" w:right="63"/>
              <w:rPr>
                <w:rFonts w:eastAsia="仿宋_GB2312"/>
                <w:color w:val="000000"/>
                <w:kern w:val="2"/>
                <w:sz w:val="28"/>
                <w:szCs w:val="30"/>
                <w:lang w:val="en-US" w:eastAsia="zh-CN"/>
              </w:rPr>
            </w:pPr>
          </w:p>
        </w:tc>
      </w:tr>
      <w:tr w14:paraId="430D90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A8216F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CFB4CA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40C386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EB2334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82D5C4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5EF5448">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E185596">
            <w:pPr>
              <w:pStyle w:val="16"/>
              <w:keepNext/>
              <w:spacing w:after="0" w:line="440" w:lineRule="exact"/>
              <w:ind w:left="63" w:right="63"/>
              <w:rPr>
                <w:rFonts w:eastAsia="仿宋_GB2312"/>
                <w:color w:val="000000"/>
                <w:kern w:val="2"/>
                <w:sz w:val="28"/>
                <w:szCs w:val="30"/>
                <w:lang w:val="en-US" w:eastAsia="zh-CN"/>
              </w:rPr>
            </w:pPr>
          </w:p>
        </w:tc>
      </w:tr>
      <w:tr w14:paraId="6BE72A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E4EFF9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E504AD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05FD91F">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2085FC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693AAE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974F77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518B9DC">
            <w:pPr>
              <w:pStyle w:val="16"/>
              <w:keepNext/>
              <w:spacing w:after="0" w:line="440" w:lineRule="exact"/>
              <w:ind w:left="63" w:right="63"/>
              <w:rPr>
                <w:rFonts w:eastAsia="仿宋_GB2312"/>
                <w:color w:val="000000"/>
                <w:kern w:val="2"/>
                <w:sz w:val="28"/>
                <w:szCs w:val="30"/>
                <w:lang w:val="en-US" w:eastAsia="zh-CN"/>
              </w:rPr>
            </w:pPr>
          </w:p>
        </w:tc>
      </w:tr>
      <w:tr w14:paraId="2C4FA58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0E2A14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6853E6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8E1903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C1237D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B947F5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0178B6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DDF0099">
            <w:pPr>
              <w:pStyle w:val="16"/>
              <w:keepNext/>
              <w:spacing w:after="0" w:line="440" w:lineRule="exact"/>
              <w:ind w:left="63" w:right="63"/>
              <w:rPr>
                <w:rFonts w:eastAsia="仿宋_GB2312"/>
                <w:color w:val="000000"/>
                <w:kern w:val="2"/>
                <w:sz w:val="28"/>
                <w:szCs w:val="30"/>
                <w:lang w:val="en-US" w:eastAsia="zh-CN"/>
              </w:rPr>
            </w:pPr>
          </w:p>
        </w:tc>
      </w:tr>
      <w:tr w14:paraId="45E2D31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8449BD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17AFC6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AA503F3">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2D430E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1039E4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C9C9CF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388E947">
            <w:pPr>
              <w:pStyle w:val="16"/>
              <w:keepNext/>
              <w:spacing w:after="0" w:line="440" w:lineRule="exact"/>
              <w:ind w:left="63" w:right="63"/>
              <w:rPr>
                <w:rFonts w:eastAsia="仿宋_GB2312"/>
                <w:color w:val="000000"/>
                <w:kern w:val="2"/>
                <w:sz w:val="28"/>
                <w:szCs w:val="30"/>
                <w:lang w:val="en-US" w:eastAsia="zh-CN"/>
              </w:rPr>
            </w:pPr>
          </w:p>
        </w:tc>
      </w:tr>
      <w:tr w14:paraId="39BA819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2B1D89E">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66784C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DFFD04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12B9D5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94B667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0370E4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CF41680">
            <w:pPr>
              <w:pStyle w:val="16"/>
              <w:keepNext/>
              <w:spacing w:after="0" w:line="440" w:lineRule="exact"/>
              <w:ind w:left="63" w:right="63"/>
              <w:rPr>
                <w:rFonts w:eastAsia="仿宋_GB2312"/>
                <w:color w:val="000000"/>
                <w:kern w:val="2"/>
                <w:sz w:val="28"/>
                <w:szCs w:val="30"/>
                <w:lang w:val="en-US" w:eastAsia="zh-CN"/>
              </w:rPr>
            </w:pPr>
          </w:p>
        </w:tc>
      </w:tr>
      <w:tr w14:paraId="04EDB08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B15D4F0">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E54607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1DB662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CCEFE8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A497E4D">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BB317D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2D05861">
            <w:pPr>
              <w:pStyle w:val="16"/>
              <w:keepNext/>
              <w:spacing w:after="0" w:line="440" w:lineRule="exact"/>
              <w:ind w:left="63" w:right="63"/>
              <w:rPr>
                <w:rFonts w:eastAsia="仿宋_GB2312"/>
                <w:color w:val="000000"/>
                <w:kern w:val="2"/>
                <w:sz w:val="28"/>
                <w:szCs w:val="30"/>
                <w:lang w:val="en-US" w:eastAsia="zh-CN"/>
              </w:rPr>
            </w:pPr>
          </w:p>
        </w:tc>
      </w:tr>
      <w:tr w14:paraId="047AE56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41DFA6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2D74E71">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983507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D6276F9">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84C1B4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9CFC9B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6617A6F">
            <w:pPr>
              <w:pStyle w:val="16"/>
              <w:keepNext/>
              <w:spacing w:after="0" w:line="440" w:lineRule="exact"/>
              <w:ind w:left="63" w:right="63"/>
              <w:rPr>
                <w:rFonts w:eastAsia="仿宋_GB2312"/>
                <w:color w:val="000000"/>
                <w:kern w:val="2"/>
                <w:sz w:val="28"/>
                <w:szCs w:val="30"/>
                <w:lang w:val="en-US" w:eastAsia="zh-CN"/>
              </w:rPr>
            </w:pPr>
          </w:p>
        </w:tc>
      </w:tr>
      <w:tr w14:paraId="49B693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B21A1D8">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5EBC6CC1">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91BEEAD">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12FA581">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758716E">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F90FDDE">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F11176F">
            <w:pPr>
              <w:pStyle w:val="16"/>
              <w:keepNext/>
              <w:spacing w:after="0" w:line="440" w:lineRule="exact"/>
              <w:ind w:left="63" w:right="63"/>
              <w:rPr>
                <w:rFonts w:eastAsia="仿宋_GB2312"/>
                <w:color w:val="000000"/>
                <w:kern w:val="2"/>
                <w:sz w:val="28"/>
                <w:szCs w:val="30"/>
                <w:lang w:val="en-US" w:eastAsia="zh-CN"/>
              </w:rPr>
            </w:pPr>
          </w:p>
        </w:tc>
      </w:tr>
      <w:tr w14:paraId="6B5138D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8AE470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B1D9C9C">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10108D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3B93E4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8BBF99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A4CA33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603AD4F">
            <w:pPr>
              <w:pStyle w:val="16"/>
              <w:keepNext/>
              <w:spacing w:after="0" w:line="440" w:lineRule="exact"/>
              <w:ind w:left="63" w:right="63"/>
              <w:rPr>
                <w:rFonts w:eastAsia="仿宋_GB2312"/>
                <w:color w:val="000000"/>
                <w:kern w:val="2"/>
                <w:sz w:val="28"/>
                <w:szCs w:val="30"/>
                <w:lang w:val="en-US" w:eastAsia="zh-CN"/>
              </w:rPr>
            </w:pPr>
          </w:p>
        </w:tc>
      </w:tr>
      <w:tr w14:paraId="7D5DF2D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338FCDE">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C62C47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BA4342D">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6F79DD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2D6EAB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DC8781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C15E16E">
            <w:pPr>
              <w:pStyle w:val="16"/>
              <w:keepNext/>
              <w:spacing w:after="0" w:line="440" w:lineRule="exact"/>
              <w:ind w:left="63" w:right="63"/>
              <w:rPr>
                <w:rFonts w:eastAsia="仿宋_GB2312"/>
                <w:color w:val="000000"/>
                <w:kern w:val="2"/>
                <w:sz w:val="28"/>
                <w:szCs w:val="30"/>
                <w:lang w:val="en-US" w:eastAsia="zh-CN"/>
              </w:rPr>
            </w:pPr>
          </w:p>
        </w:tc>
      </w:tr>
      <w:tr w14:paraId="70EA36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12F0FC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542AA1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2012D4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110DA7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558078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AC3CD8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D13DB67">
            <w:pPr>
              <w:pStyle w:val="16"/>
              <w:keepNext/>
              <w:spacing w:after="0" w:line="440" w:lineRule="exact"/>
              <w:ind w:left="63" w:right="63"/>
              <w:rPr>
                <w:rFonts w:eastAsia="仿宋_GB2312"/>
                <w:color w:val="000000"/>
                <w:kern w:val="2"/>
                <w:sz w:val="28"/>
                <w:szCs w:val="30"/>
                <w:lang w:val="en-US" w:eastAsia="zh-CN"/>
              </w:rPr>
            </w:pPr>
          </w:p>
        </w:tc>
      </w:tr>
      <w:tr w14:paraId="6185D6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E5B059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1C7D492">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38381C7">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7EA3CD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4573CDA">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BE0DBF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781AC39">
            <w:pPr>
              <w:pStyle w:val="16"/>
              <w:keepNext/>
              <w:spacing w:after="0" w:line="440" w:lineRule="exact"/>
              <w:ind w:left="63" w:right="63"/>
              <w:rPr>
                <w:rFonts w:eastAsia="仿宋_GB2312"/>
                <w:color w:val="000000"/>
                <w:kern w:val="2"/>
                <w:sz w:val="28"/>
                <w:szCs w:val="30"/>
                <w:lang w:val="en-US" w:eastAsia="zh-CN"/>
              </w:rPr>
            </w:pPr>
          </w:p>
        </w:tc>
      </w:tr>
    </w:tbl>
    <w:p w14:paraId="2430AED6">
      <w:pPr>
        <w:spacing w:before="156" w:beforeLines="50" w:after="156" w:afterLines="50" w:line="440" w:lineRule="exact"/>
        <w:rPr>
          <w:rFonts w:hint="eastAsia" w:ascii="Times New Roman" w:hAnsi="Times New Roman" w:eastAsia="黑体"/>
          <w:color w:val="000000"/>
          <w:sz w:val="30"/>
          <w:szCs w:val="30"/>
        </w:rPr>
      </w:pPr>
    </w:p>
    <w:p w14:paraId="4AADE42C">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黑体"/>
          <w:color w:val="000000"/>
          <w:sz w:val="30"/>
          <w:szCs w:val="30"/>
        </w:rPr>
        <w:t>11-2：工程设备暂估价表</w:t>
      </w:r>
    </w:p>
    <w:tbl>
      <w:tblPr>
        <w:tblStyle w:val="34"/>
        <w:tblW w:w="0" w:type="auto"/>
        <w:tblInd w:w="-114"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993"/>
        <w:gridCol w:w="1984"/>
        <w:gridCol w:w="851"/>
        <w:gridCol w:w="774"/>
        <w:gridCol w:w="1352"/>
        <w:gridCol w:w="1418"/>
        <w:gridCol w:w="1701"/>
      </w:tblGrid>
      <w:tr w14:paraId="27F2CBA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single" w:color="auto" w:sz="12" w:space="0"/>
              <w:bottom w:val="double" w:color="auto" w:sz="6" w:space="0"/>
            </w:tcBorders>
            <w:noWrap w:val="0"/>
            <w:vAlign w:val="top"/>
          </w:tcPr>
          <w:p w14:paraId="5527B3F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1811C0A0">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名称</w:t>
            </w:r>
          </w:p>
        </w:tc>
        <w:tc>
          <w:tcPr>
            <w:tcW w:w="851" w:type="dxa"/>
            <w:tcBorders>
              <w:top w:val="single" w:color="auto" w:sz="12" w:space="0"/>
              <w:bottom w:val="double" w:color="auto" w:sz="6" w:space="0"/>
            </w:tcBorders>
            <w:noWrap w:val="0"/>
            <w:vAlign w:val="top"/>
          </w:tcPr>
          <w:p w14:paraId="5D96C829">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单位</w:t>
            </w:r>
          </w:p>
        </w:tc>
        <w:tc>
          <w:tcPr>
            <w:tcW w:w="774" w:type="dxa"/>
            <w:tcBorders>
              <w:top w:val="single" w:color="auto" w:sz="12" w:space="0"/>
              <w:bottom w:val="double" w:color="auto" w:sz="6" w:space="0"/>
            </w:tcBorders>
            <w:noWrap w:val="0"/>
            <w:vAlign w:val="top"/>
          </w:tcPr>
          <w:p w14:paraId="55EF3905">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数量</w:t>
            </w:r>
          </w:p>
        </w:tc>
        <w:tc>
          <w:tcPr>
            <w:tcW w:w="1352" w:type="dxa"/>
            <w:tcBorders>
              <w:top w:val="single" w:color="auto" w:sz="12" w:space="0"/>
              <w:bottom w:val="double" w:color="auto" w:sz="6" w:space="0"/>
            </w:tcBorders>
            <w:noWrap w:val="0"/>
            <w:vAlign w:val="top"/>
          </w:tcPr>
          <w:p w14:paraId="034054E1">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单价</w:t>
            </w:r>
            <w:r>
              <w:rPr>
                <w:rFonts w:hint="eastAsia" w:eastAsia="仿宋_GB2312"/>
                <w:color w:val="000000"/>
                <w:kern w:val="2"/>
                <w:sz w:val="28"/>
                <w:szCs w:val="30"/>
                <w:lang w:val="en-US" w:eastAsia="zh-CN"/>
              </w:rPr>
              <w:t>（元）</w:t>
            </w:r>
          </w:p>
        </w:tc>
        <w:tc>
          <w:tcPr>
            <w:tcW w:w="1418" w:type="dxa"/>
            <w:tcBorders>
              <w:top w:val="single" w:color="auto" w:sz="12" w:space="0"/>
              <w:bottom w:val="double" w:color="auto" w:sz="6" w:space="0"/>
            </w:tcBorders>
            <w:noWrap w:val="0"/>
            <w:vAlign w:val="top"/>
          </w:tcPr>
          <w:p w14:paraId="591AC84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合价</w:t>
            </w:r>
            <w:r>
              <w:rPr>
                <w:rFonts w:hint="eastAsia" w:eastAsia="仿宋_GB2312"/>
                <w:color w:val="000000"/>
                <w:kern w:val="2"/>
                <w:sz w:val="28"/>
                <w:szCs w:val="30"/>
                <w:lang w:val="en-US" w:eastAsia="zh-CN"/>
              </w:rPr>
              <w:t>（元）</w:t>
            </w:r>
          </w:p>
        </w:tc>
        <w:tc>
          <w:tcPr>
            <w:tcW w:w="1701" w:type="dxa"/>
            <w:tcBorders>
              <w:top w:val="single" w:color="auto" w:sz="12" w:space="0"/>
              <w:bottom w:val="double" w:color="auto" w:sz="6" w:space="0"/>
            </w:tcBorders>
            <w:noWrap w:val="0"/>
            <w:vAlign w:val="top"/>
          </w:tcPr>
          <w:p w14:paraId="3E12DB43">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备注</w:t>
            </w:r>
          </w:p>
        </w:tc>
      </w:tr>
      <w:tr w14:paraId="3ECFEE1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double" w:color="auto" w:sz="6" w:space="0"/>
              <w:bottom w:val="single" w:color="auto" w:sz="6" w:space="0"/>
            </w:tcBorders>
            <w:noWrap w:val="0"/>
            <w:vAlign w:val="top"/>
          </w:tcPr>
          <w:p w14:paraId="6C9FA9F9">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double" w:color="auto" w:sz="6" w:space="0"/>
              <w:bottom w:val="single" w:color="auto" w:sz="6" w:space="0"/>
            </w:tcBorders>
            <w:noWrap w:val="0"/>
            <w:vAlign w:val="top"/>
          </w:tcPr>
          <w:p w14:paraId="4D00DC3D">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double" w:color="auto" w:sz="6" w:space="0"/>
              <w:bottom w:val="single" w:color="auto" w:sz="6" w:space="0"/>
            </w:tcBorders>
            <w:noWrap w:val="0"/>
            <w:vAlign w:val="top"/>
          </w:tcPr>
          <w:p w14:paraId="7D914F3F">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double" w:color="auto" w:sz="6" w:space="0"/>
              <w:bottom w:val="single" w:color="auto" w:sz="6" w:space="0"/>
            </w:tcBorders>
            <w:noWrap w:val="0"/>
            <w:vAlign w:val="top"/>
          </w:tcPr>
          <w:p w14:paraId="629DE93A">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double" w:color="auto" w:sz="6" w:space="0"/>
              <w:bottom w:val="single" w:color="auto" w:sz="6" w:space="0"/>
            </w:tcBorders>
            <w:noWrap w:val="0"/>
            <w:vAlign w:val="top"/>
          </w:tcPr>
          <w:p w14:paraId="311C9845">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double" w:color="auto" w:sz="6" w:space="0"/>
              <w:bottom w:val="single" w:color="auto" w:sz="6" w:space="0"/>
            </w:tcBorders>
            <w:noWrap w:val="0"/>
            <w:vAlign w:val="top"/>
          </w:tcPr>
          <w:p w14:paraId="1E0AE4EC">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double" w:color="auto" w:sz="6" w:space="0"/>
              <w:bottom w:val="single" w:color="auto" w:sz="6" w:space="0"/>
            </w:tcBorders>
            <w:noWrap w:val="0"/>
            <w:vAlign w:val="top"/>
          </w:tcPr>
          <w:p w14:paraId="5B95F00C">
            <w:pPr>
              <w:pStyle w:val="16"/>
              <w:keepNext/>
              <w:spacing w:after="0" w:line="440" w:lineRule="exact"/>
              <w:ind w:left="63" w:right="63"/>
              <w:rPr>
                <w:rFonts w:eastAsia="仿宋_GB2312"/>
                <w:color w:val="000000"/>
                <w:kern w:val="2"/>
                <w:sz w:val="28"/>
                <w:szCs w:val="30"/>
                <w:lang w:val="en-US" w:eastAsia="zh-CN"/>
              </w:rPr>
            </w:pPr>
          </w:p>
        </w:tc>
      </w:tr>
      <w:tr w14:paraId="50EA500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tcBorders>
              <w:top w:val="nil"/>
            </w:tcBorders>
            <w:noWrap w:val="0"/>
            <w:vAlign w:val="top"/>
          </w:tcPr>
          <w:p w14:paraId="50EDCE05">
            <w:pPr>
              <w:pStyle w:val="16"/>
              <w:keepNext/>
              <w:spacing w:after="0" w:line="440" w:lineRule="exact"/>
              <w:ind w:left="63" w:right="63"/>
              <w:rPr>
                <w:rFonts w:eastAsia="仿宋_GB2312"/>
                <w:color w:val="000000"/>
                <w:kern w:val="2"/>
                <w:sz w:val="28"/>
                <w:szCs w:val="30"/>
                <w:lang w:val="en-US" w:eastAsia="zh-CN"/>
              </w:rPr>
            </w:pPr>
          </w:p>
        </w:tc>
        <w:tc>
          <w:tcPr>
            <w:tcW w:w="1984" w:type="dxa"/>
            <w:tcBorders>
              <w:top w:val="nil"/>
            </w:tcBorders>
            <w:noWrap w:val="0"/>
            <w:vAlign w:val="top"/>
          </w:tcPr>
          <w:p w14:paraId="376E03C3">
            <w:pPr>
              <w:pStyle w:val="16"/>
              <w:keepNext/>
              <w:spacing w:after="0" w:line="440" w:lineRule="exact"/>
              <w:ind w:left="63" w:right="63"/>
              <w:rPr>
                <w:rFonts w:eastAsia="仿宋_GB2312"/>
                <w:color w:val="000000"/>
                <w:kern w:val="2"/>
                <w:sz w:val="28"/>
                <w:szCs w:val="30"/>
                <w:lang w:val="en-US" w:eastAsia="zh-CN"/>
              </w:rPr>
            </w:pPr>
          </w:p>
        </w:tc>
        <w:tc>
          <w:tcPr>
            <w:tcW w:w="851" w:type="dxa"/>
            <w:tcBorders>
              <w:top w:val="nil"/>
            </w:tcBorders>
            <w:noWrap w:val="0"/>
            <w:vAlign w:val="top"/>
          </w:tcPr>
          <w:p w14:paraId="5F68DD7B">
            <w:pPr>
              <w:pStyle w:val="16"/>
              <w:keepNext/>
              <w:spacing w:after="0" w:line="440" w:lineRule="exact"/>
              <w:ind w:left="63" w:right="63"/>
              <w:rPr>
                <w:rFonts w:eastAsia="仿宋_GB2312"/>
                <w:color w:val="000000"/>
                <w:kern w:val="2"/>
                <w:sz w:val="28"/>
                <w:szCs w:val="30"/>
                <w:lang w:val="en-US" w:eastAsia="zh-CN"/>
              </w:rPr>
            </w:pPr>
          </w:p>
        </w:tc>
        <w:tc>
          <w:tcPr>
            <w:tcW w:w="774" w:type="dxa"/>
            <w:tcBorders>
              <w:top w:val="nil"/>
            </w:tcBorders>
            <w:noWrap w:val="0"/>
            <w:vAlign w:val="top"/>
          </w:tcPr>
          <w:p w14:paraId="38765174">
            <w:pPr>
              <w:pStyle w:val="16"/>
              <w:keepNext/>
              <w:spacing w:after="0" w:line="440" w:lineRule="exact"/>
              <w:ind w:left="63" w:right="63"/>
              <w:rPr>
                <w:rFonts w:eastAsia="仿宋_GB2312"/>
                <w:color w:val="000000"/>
                <w:kern w:val="2"/>
                <w:sz w:val="28"/>
                <w:szCs w:val="30"/>
                <w:lang w:val="en-US" w:eastAsia="zh-CN"/>
              </w:rPr>
            </w:pPr>
          </w:p>
        </w:tc>
        <w:tc>
          <w:tcPr>
            <w:tcW w:w="1352" w:type="dxa"/>
            <w:tcBorders>
              <w:top w:val="nil"/>
            </w:tcBorders>
            <w:noWrap w:val="0"/>
            <w:vAlign w:val="top"/>
          </w:tcPr>
          <w:p w14:paraId="45B7FD3B">
            <w:pPr>
              <w:pStyle w:val="16"/>
              <w:keepNext/>
              <w:spacing w:after="0" w:line="440" w:lineRule="exact"/>
              <w:ind w:left="63" w:right="63"/>
              <w:rPr>
                <w:rFonts w:eastAsia="仿宋_GB2312"/>
                <w:color w:val="000000"/>
                <w:kern w:val="2"/>
                <w:sz w:val="28"/>
                <w:szCs w:val="30"/>
                <w:lang w:val="en-US" w:eastAsia="zh-CN"/>
              </w:rPr>
            </w:pPr>
          </w:p>
        </w:tc>
        <w:tc>
          <w:tcPr>
            <w:tcW w:w="1418" w:type="dxa"/>
            <w:tcBorders>
              <w:top w:val="nil"/>
            </w:tcBorders>
            <w:noWrap w:val="0"/>
            <w:vAlign w:val="top"/>
          </w:tcPr>
          <w:p w14:paraId="71292EA0">
            <w:pPr>
              <w:pStyle w:val="16"/>
              <w:keepNext/>
              <w:spacing w:after="0" w:line="440" w:lineRule="exact"/>
              <w:ind w:left="63" w:right="63"/>
              <w:rPr>
                <w:rFonts w:eastAsia="仿宋_GB2312"/>
                <w:color w:val="000000"/>
                <w:kern w:val="2"/>
                <w:sz w:val="28"/>
                <w:szCs w:val="30"/>
                <w:lang w:val="en-US" w:eastAsia="zh-CN"/>
              </w:rPr>
            </w:pPr>
          </w:p>
        </w:tc>
        <w:tc>
          <w:tcPr>
            <w:tcW w:w="1701" w:type="dxa"/>
            <w:tcBorders>
              <w:top w:val="nil"/>
            </w:tcBorders>
            <w:noWrap w:val="0"/>
            <w:vAlign w:val="top"/>
          </w:tcPr>
          <w:p w14:paraId="4F8E56D5">
            <w:pPr>
              <w:pStyle w:val="16"/>
              <w:keepNext/>
              <w:spacing w:after="0" w:line="440" w:lineRule="exact"/>
              <w:ind w:left="63" w:right="63"/>
              <w:rPr>
                <w:rFonts w:eastAsia="仿宋_GB2312"/>
                <w:color w:val="000000"/>
                <w:kern w:val="2"/>
                <w:sz w:val="28"/>
                <w:szCs w:val="30"/>
                <w:lang w:val="en-US" w:eastAsia="zh-CN"/>
              </w:rPr>
            </w:pPr>
          </w:p>
        </w:tc>
      </w:tr>
      <w:tr w14:paraId="7A4BBBC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AFDC49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4F1B06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B0B89C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AB199D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F4C446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DCCC6F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2E9CBD1">
            <w:pPr>
              <w:pStyle w:val="16"/>
              <w:keepNext/>
              <w:spacing w:after="0" w:line="440" w:lineRule="exact"/>
              <w:ind w:left="63" w:right="63"/>
              <w:rPr>
                <w:rFonts w:eastAsia="仿宋_GB2312"/>
                <w:color w:val="000000"/>
                <w:kern w:val="2"/>
                <w:sz w:val="28"/>
                <w:szCs w:val="30"/>
                <w:lang w:val="en-US" w:eastAsia="zh-CN"/>
              </w:rPr>
            </w:pPr>
          </w:p>
        </w:tc>
      </w:tr>
      <w:tr w14:paraId="7EAD0AA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571038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D1313C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EE3A13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5171BF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0D9110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11B06A6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DFFF1F7">
            <w:pPr>
              <w:pStyle w:val="16"/>
              <w:keepNext/>
              <w:spacing w:after="0" w:line="440" w:lineRule="exact"/>
              <w:ind w:left="63" w:right="63"/>
              <w:rPr>
                <w:rFonts w:eastAsia="仿宋_GB2312"/>
                <w:color w:val="000000"/>
                <w:kern w:val="2"/>
                <w:sz w:val="28"/>
                <w:szCs w:val="30"/>
                <w:lang w:val="en-US" w:eastAsia="zh-CN"/>
              </w:rPr>
            </w:pPr>
          </w:p>
        </w:tc>
      </w:tr>
      <w:tr w14:paraId="38715E8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02CABE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E54D1A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D2EE58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CC800F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7E81A07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F31CAB0">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08E5577">
            <w:pPr>
              <w:pStyle w:val="16"/>
              <w:keepNext/>
              <w:spacing w:after="0" w:line="440" w:lineRule="exact"/>
              <w:ind w:left="63" w:right="63"/>
              <w:rPr>
                <w:rFonts w:eastAsia="仿宋_GB2312"/>
                <w:color w:val="000000"/>
                <w:kern w:val="2"/>
                <w:sz w:val="28"/>
                <w:szCs w:val="30"/>
                <w:lang w:val="en-US" w:eastAsia="zh-CN"/>
              </w:rPr>
            </w:pPr>
          </w:p>
        </w:tc>
      </w:tr>
      <w:tr w14:paraId="43EF4D4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4981779">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A58B126">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78DB20D">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C4EB0A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1E9A66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00B87A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92BE298">
            <w:pPr>
              <w:pStyle w:val="16"/>
              <w:keepNext/>
              <w:spacing w:after="0" w:line="440" w:lineRule="exact"/>
              <w:ind w:left="63" w:right="63"/>
              <w:rPr>
                <w:rFonts w:eastAsia="仿宋_GB2312"/>
                <w:color w:val="000000"/>
                <w:kern w:val="2"/>
                <w:sz w:val="28"/>
                <w:szCs w:val="30"/>
                <w:lang w:val="en-US" w:eastAsia="zh-CN"/>
              </w:rPr>
            </w:pPr>
          </w:p>
        </w:tc>
      </w:tr>
      <w:tr w14:paraId="6EACB36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16542BF">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39F43E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BCCB6B2">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59D577D">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303805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603E645">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2044CC4">
            <w:pPr>
              <w:pStyle w:val="16"/>
              <w:keepNext/>
              <w:spacing w:after="0" w:line="440" w:lineRule="exact"/>
              <w:ind w:left="63" w:right="63"/>
              <w:rPr>
                <w:rFonts w:eastAsia="仿宋_GB2312"/>
                <w:color w:val="000000"/>
                <w:kern w:val="2"/>
                <w:sz w:val="28"/>
                <w:szCs w:val="30"/>
                <w:lang w:val="en-US" w:eastAsia="zh-CN"/>
              </w:rPr>
            </w:pPr>
          </w:p>
        </w:tc>
      </w:tr>
      <w:tr w14:paraId="7B2D41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8F740C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CB9F9C3">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6F9D16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82060AC">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1708EE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BD25B33">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19F3B74">
            <w:pPr>
              <w:pStyle w:val="16"/>
              <w:keepNext/>
              <w:spacing w:after="0" w:line="440" w:lineRule="exact"/>
              <w:ind w:left="63" w:right="63"/>
              <w:rPr>
                <w:rFonts w:eastAsia="仿宋_GB2312"/>
                <w:color w:val="000000"/>
                <w:kern w:val="2"/>
                <w:sz w:val="28"/>
                <w:szCs w:val="30"/>
                <w:lang w:val="en-US" w:eastAsia="zh-CN"/>
              </w:rPr>
            </w:pPr>
          </w:p>
        </w:tc>
      </w:tr>
      <w:tr w14:paraId="33BD583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59090AB">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1D69FB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134C437">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73A44CF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FB10B0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6E7766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AA05F81">
            <w:pPr>
              <w:pStyle w:val="16"/>
              <w:keepNext/>
              <w:spacing w:after="0" w:line="440" w:lineRule="exact"/>
              <w:ind w:left="63" w:right="63"/>
              <w:rPr>
                <w:rFonts w:eastAsia="仿宋_GB2312"/>
                <w:color w:val="000000"/>
                <w:kern w:val="2"/>
                <w:sz w:val="28"/>
                <w:szCs w:val="30"/>
                <w:lang w:val="en-US" w:eastAsia="zh-CN"/>
              </w:rPr>
            </w:pPr>
          </w:p>
        </w:tc>
      </w:tr>
      <w:tr w14:paraId="3D80F5C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162280C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D63139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D13ED2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7D7E820">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953BC8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E22769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FD62CE9">
            <w:pPr>
              <w:pStyle w:val="16"/>
              <w:keepNext/>
              <w:spacing w:after="0" w:line="440" w:lineRule="exact"/>
              <w:ind w:left="63" w:right="63"/>
              <w:rPr>
                <w:rFonts w:eastAsia="仿宋_GB2312"/>
                <w:color w:val="000000"/>
                <w:kern w:val="2"/>
                <w:sz w:val="28"/>
                <w:szCs w:val="30"/>
                <w:lang w:val="en-US" w:eastAsia="zh-CN"/>
              </w:rPr>
            </w:pPr>
          </w:p>
        </w:tc>
      </w:tr>
      <w:tr w14:paraId="7463B5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29BE919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7B8FAD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2189EF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5576A45">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81B9AE6">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7ED58FD">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12322F2B">
            <w:pPr>
              <w:pStyle w:val="16"/>
              <w:keepNext/>
              <w:spacing w:after="0" w:line="440" w:lineRule="exact"/>
              <w:ind w:left="63" w:right="63"/>
              <w:rPr>
                <w:rFonts w:eastAsia="仿宋_GB2312"/>
                <w:color w:val="000000"/>
                <w:kern w:val="2"/>
                <w:sz w:val="28"/>
                <w:szCs w:val="30"/>
                <w:lang w:val="en-US" w:eastAsia="zh-CN"/>
              </w:rPr>
            </w:pPr>
          </w:p>
        </w:tc>
      </w:tr>
      <w:tr w14:paraId="35A2C31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BFD1741">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F481D60">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5C2BFE7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8F3CF37">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13EE320">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755E03B">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5CE72336">
            <w:pPr>
              <w:pStyle w:val="16"/>
              <w:keepNext/>
              <w:spacing w:after="0" w:line="440" w:lineRule="exact"/>
              <w:ind w:left="63" w:right="63"/>
              <w:rPr>
                <w:rFonts w:eastAsia="仿宋_GB2312"/>
                <w:color w:val="000000"/>
                <w:kern w:val="2"/>
                <w:sz w:val="28"/>
                <w:szCs w:val="30"/>
                <w:lang w:val="en-US" w:eastAsia="zh-CN"/>
              </w:rPr>
            </w:pPr>
          </w:p>
        </w:tc>
      </w:tr>
      <w:tr w14:paraId="0D8E19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1D8E0E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235CA27">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99A93B1">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25460D8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2120EB8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9C3723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3127F9E">
            <w:pPr>
              <w:pStyle w:val="16"/>
              <w:keepNext/>
              <w:spacing w:after="0" w:line="440" w:lineRule="exact"/>
              <w:ind w:left="63" w:right="63"/>
              <w:rPr>
                <w:rFonts w:eastAsia="仿宋_GB2312"/>
                <w:color w:val="000000"/>
                <w:kern w:val="2"/>
                <w:sz w:val="28"/>
                <w:szCs w:val="30"/>
                <w:lang w:val="en-US" w:eastAsia="zh-CN"/>
              </w:rPr>
            </w:pPr>
          </w:p>
        </w:tc>
      </w:tr>
      <w:tr w14:paraId="7D19388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DF58496">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01A6C6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5ED220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0424EE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559D7049">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AAC4848">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2A6B83A8">
            <w:pPr>
              <w:pStyle w:val="16"/>
              <w:keepNext/>
              <w:spacing w:after="0" w:line="440" w:lineRule="exact"/>
              <w:ind w:left="63" w:right="63"/>
              <w:rPr>
                <w:rFonts w:eastAsia="仿宋_GB2312"/>
                <w:color w:val="000000"/>
                <w:kern w:val="2"/>
                <w:sz w:val="28"/>
                <w:szCs w:val="30"/>
                <w:lang w:val="en-US" w:eastAsia="zh-CN"/>
              </w:rPr>
            </w:pPr>
          </w:p>
        </w:tc>
      </w:tr>
      <w:tr w14:paraId="3AEF80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E88F9F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6728776A">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DB46DD6">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FEE35B2">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B31132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7A8229F">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7B55C54">
            <w:pPr>
              <w:pStyle w:val="16"/>
              <w:keepNext/>
              <w:spacing w:after="0" w:line="440" w:lineRule="exact"/>
              <w:ind w:left="63" w:right="63"/>
              <w:rPr>
                <w:rFonts w:eastAsia="仿宋_GB2312"/>
                <w:color w:val="000000"/>
                <w:kern w:val="2"/>
                <w:sz w:val="28"/>
                <w:szCs w:val="30"/>
                <w:lang w:val="en-US" w:eastAsia="zh-CN"/>
              </w:rPr>
            </w:pPr>
          </w:p>
        </w:tc>
      </w:tr>
      <w:tr w14:paraId="25288F1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3E0B0F7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D41369D">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4D3C921D">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20439E6">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1DF4B01">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A264334">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6506E923">
            <w:pPr>
              <w:pStyle w:val="16"/>
              <w:keepNext/>
              <w:spacing w:after="0" w:line="440" w:lineRule="exact"/>
              <w:ind w:left="63" w:right="63"/>
              <w:rPr>
                <w:rFonts w:eastAsia="仿宋_GB2312"/>
                <w:color w:val="000000"/>
                <w:kern w:val="2"/>
                <w:sz w:val="28"/>
                <w:szCs w:val="30"/>
                <w:lang w:val="en-US" w:eastAsia="zh-CN"/>
              </w:rPr>
            </w:pPr>
          </w:p>
        </w:tc>
      </w:tr>
      <w:tr w14:paraId="7FD57C6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5D336C07">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3BF524B8">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0CFDD52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EB5A5D3">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4E14BC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66FC736">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07D9DAD2">
            <w:pPr>
              <w:pStyle w:val="16"/>
              <w:keepNext/>
              <w:spacing w:after="0" w:line="440" w:lineRule="exact"/>
              <w:ind w:left="63" w:right="63"/>
              <w:rPr>
                <w:rFonts w:eastAsia="仿宋_GB2312"/>
                <w:color w:val="000000"/>
                <w:kern w:val="2"/>
                <w:sz w:val="28"/>
                <w:szCs w:val="30"/>
                <w:lang w:val="en-US" w:eastAsia="zh-CN"/>
              </w:rPr>
            </w:pPr>
          </w:p>
        </w:tc>
      </w:tr>
      <w:tr w14:paraId="7899739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5841610">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6DCB13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378A4EFA">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49A2E61E">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CA0450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DA882A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E96A4DF">
            <w:pPr>
              <w:pStyle w:val="16"/>
              <w:keepNext/>
              <w:spacing w:after="0" w:line="440" w:lineRule="exact"/>
              <w:ind w:left="63" w:right="63"/>
              <w:rPr>
                <w:rFonts w:eastAsia="仿宋_GB2312"/>
                <w:color w:val="000000"/>
                <w:kern w:val="2"/>
                <w:sz w:val="28"/>
                <w:szCs w:val="30"/>
                <w:lang w:val="en-US" w:eastAsia="zh-CN"/>
              </w:rPr>
            </w:pPr>
          </w:p>
        </w:tc>
      </w:tr>
      <w:tr w14:paraId="1A10075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C63FC0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0DA95EB">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71A8881">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7F2B688">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DC816F8">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0B6AEFD9">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374A5057">
            <w:pPr>
              <w:pStyle w:val="16"/>
              <w:keepNext/>
              <w:spacing w:after="0" w:line="440" w:lineRule="exact"/>
              <w:ind w:left="63" w:right="63"/>
              <w:rPr>
                <w:rFonts w:eastAsia="仿宋_GB2312"/>
                <w:color w:val="000000"/>
                <w:kern w:val="2"/>
                <w:sz w:val="28"/>
                <w:szCs w:val="30"/>
                <w:lang w:val="en-US" w:eastAsia="zh-CN"/>
              </w:rPr>
            </w:pPr>
          </w:p>
        </w:tc>
      </w:tr>
      <w:tr w14:paraId="7756AEA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5C27D74">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0DD8C74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392A87B">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508F951F">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0D7E2B9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35E623C1">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EF73F68">
            <w:pPr>
              <w:pStyle w:val="16"/>
              <w:keepNext/>
              <w:spacing w:after="0" w:line="440" w:lineRule="exact"/>
              <w:ind w:left="63" w:right="63"/>
              <w:rPr>
                <w:rFonts w:eastAsia="仿宋_GB2312"/>
                <w:color w:val="000000"/>
                <w:kern w:val="2"/>
                <w:sz w:val="28"/>
                <w:szCs w:val="30"/>
                <w:lang w:val="en-US" w:eastAsia="zh-CN"/>
              </w:rPr>
            </w:pPr>
          </w:p>
        </w:tc>
      </w:tr>
      <w:tr w14:paraId="360DE87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6D2E3F78">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25DAC8E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251A08C">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6BD30D8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A7A6B94">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6DE1057A">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CC12F3E">
            <w:pPr>
              <w:pStyle w:val="16"/>
              <w:keepNext/>
              <w:spacing w:after="0" w:line="440" w:lineRule="exact"/>
              <w:ind w:left="63" w:right="63"/>
              <w:rPr>
                <w:rFonts w:eastAsia="仿宋_GB2312"/>
                <w:color w:val="000000"/>
                <w:kern w:val="2"/>
                <w:sz w:val="28"/>
                <w:szCs w:val="30"/>
                <w:lang w:val="en-US" w:eastAsia="zh-CN"/>
              </w:rPr>
            </w:pPr>
          </w:p>
        </w:tc>
      </w:tr>
      <w:tr w14:paraId="1F9ED8D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4B4AE5AC">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6B0DAE5">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610573B0">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C0A099A">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184C730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73ACDCC2">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E6410A2">
            <w:pPr>
              <w:pStyle w:val="16"/>
              <w:keepNext/>
              <w:spacing w:after="0" w:line="440" w:lineRule="exact"/>
              <w:ind w:left="63" w:right="63"/>
              <w:rPr>
                <w:rFonts w:eastAsia="仿宋_GB2312"/>
                <w:color w:val="000000"/>
                <w:kern w:val="2"/>
                <w:sz w:val="28"/>
                <w:szCs w:val="30"/>
                <w:lang w:val="en-US" w:eastAsia="zh-CN"/>
              </w:rPr>
            </w:pPr>
          </w:p>
        </w:tc>
      </w:tr>
      <w:tr w14:paraId="6B5E3FB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26600BA">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77988A84">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73FDFD34">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3AE696EB">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4D482E12">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58AFF00F">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44E0F4E8">
            <w:pPr>
              <w:pStyle w:val="16"/>
              <w:keepNext/>
              <w:spacing w:after="0" w:line="440" w:lineRule="exact"/>
              <w:ind w:left="63" w:right="63"/>
              <w:rPr>
                <w:rFonts w:eastAsia="仿宋_GB2312"/>
                <w:color w:val="000000"/>
                <w:kern w:val="2"/>
                <w:sz w:val="28"/>
                <w:szCs w:val="30"/>
                <w:lang w:val="en-US" w:eastAsia="zh-CN"/>
              </w:rPr>
            </w:pPr>
          </w:p>
        </w:tc>
      </w:tr>
      <w:tr w14:paraId="0C1C779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7F54CD93">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432D0D1F">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157D8F88">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13E3FD71">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6B7CE17F">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26BD7FA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9366005">
            <w:pPr>
              <w:pStyle w:val="16"/>
              <w:keepNext/>
              <w:spacing w:after="0" w:line="440" w:lineRule="exact"/>
              <w:ind w:left="63" w:right="63"/>
              <w:rPr>
                <w:rFonts w:eastAsia="仿宋_GB2312"/>
                <w:color w:val="000000"/>
                <w:kern w:val="2"/>
                <w:sz w:val="28"/>
                <w:szCs w:val="30"/>
                <w:lang w:val="en-US" w:eastAsia="zh-CN"/>
              </w:rPr>
            </w:pPr>
          </w:p>
        </w:tc>
      </w:tr>
      <w:tr w14:paraId="40C0AB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trPr>
        <w:tc>
          <w:tcPr>
            <w:tcW w:w="993" w:type="dxa"/>
            <w:noWrap w:val="0"/>
            <w:vAlign w:val="top"/>
          </w:tcPr>
          <w:p w14:paraId="04E8D7F5">
            <w:pPr>
              <w:pStyle w:val="16"/>
              <w:keepNext/>
              <w:spacing w:after="0" w:line="440" w:lineRule="exact"/>
              <w:ind w:left="63" w:right="63"/>
              <w:rPr>
                <w:rFonts w:eastAsia="仿宋_GB2312"/>
                <w:color w:val="000000"/>
                <w:kern w:val="2"/>
                <w:sz w:val="28"/>
                <w:szCs w:val="30"/>
                <w:lang w:val="en-US" w:eastAsia="zh-CN"/>
              </w:rPr>
            </w:pPr>
          </w:p>
        </w:tc>
        <w:tc>
          <w:tcPr>
            <w:tcW w:w="1984" w:type="dxa"/>
            <w:noWrap w:val="0"/>
            <w:vAlign w:val="top"/>
          </w:tcPr>
          <w:p w14:paraId="1A523749">
            <w:pPr>
              <w:pStyle w:val="16"/>
              <w:keepNext/>
              <w:spacing w:after="0" w:line="440" w:lineRule="exact"/>
              <w:ind w:left="63" w:right="63"/>
              <w:rPr>
                <w:rFonts w:eastAsia="仿宋_GB2312"/>
                <w:color w:val="000000"/>
                <w:kern w:val="2"/>
                <w:sz w:val="28"/>
                <w:szCs w:val="30"/>
                <w:lang w:val="en-US" w:eastAsia="zh-CN"/>
              </w:rPr>
            </w:pPr>
          </w:p>
        </w:tc>
        <w:tc>
          <w:tcPr>
            <w:tcW w:w="851" w:type="dxa"/>
            <w:noWrap w:val="0"/>
            <w:vAlign w:val="top"/>
          </w:tcPr>
          <w:p w14:paraId="2F768CC9">
            <w:pPr>
              <w:pStyle w:val="16"/>
              <w:keepNext/>
              <w:spacing w:after="0" w:line="440" w:lineRule="exact"/>
              <w:ind w:left="63" w:right="63"/>
              <w:rPr>
                <w:rFonts w:eastAsia="仿宋_GB2312"/>
                <w:color w:val="000000"/>
                <w:kern w:val="2"/>
                <w:sz w:val="28"/>
                <w:szCs w:val="30"/>
                <w:lang w:val="en-US" w:eastAsia="zh-CN"/>
              </w:rPr>
            </w:pPr>
          </w:p>
        </w:tc>
        <w:tc>
          <w:tcPr>
            <w:tcW w:w="774" w:type="dxa"/>
            <w:noWrap w:val="0"/>
            <w:vAlign w:val="top"/>
          </w:tcPr>
          <w:p w14:paraId="02506734">
            <w:pPr>
              <w:pStyle w:val="16"/>
              <w:keepNext/>
              <w:spacing w:after="0" w:line="440" w:lineRule="exact"/>
              <w:ind w:left="63" w:right="63"/>
              <w:rPr>
                <w:rFonts w:eastAsia="仿宋_GB2312"/>
                <w:color w:val="000000"/>
                <w:kern w:val="2"/>
                <w:sz w:val="28"/>
                <w:szCs w:val="30"/>
                <w:lang w:val="en-US" w:eastAsia="zh-CN"/>
              </w:rPr>
            </w:pPr>
          </w:p>
        </w:tc>
        <w:tc>
          <w:tcPr>
            <w:tcW w:w="1352" w:type="dxa"/>
            <w:noWrap w:val="0"/>
            <w:vAlign w:val="top"/>
          </w:tcPr>
          <w:p w14:paraId="31258237">
            <w:pPr>
              <w:pStyle w:val="16"/>
              <w:keepNext/>
              <w:spacing w:after="0" w:line="440" w:lineRule="exact"/>
              <w:ind w:left="63" w:right="63"/>
              <w:rPr>
                <w:rFonts w:eastAsia="仿宋_GB2312"/>
                <w:color w:val="000000"/>
                <w:kern w:val="2"/>
                <w:sz w:val="28"/>
                <w:szCs w:val="30"/>
                <w:lang w:val="en-US" w:eastAsia="zh-CN"/>
              </w:rPr>
            </w:pPr>
          </w:p>
        </w:tc>
        <w:tc>
          <w:tcPr>
            <w:tcW w:w="1418" w:type="dxa"/>
            <w:noWrap w:val="0"/>
            <w:vAlign w:val="top"/>
          </w:tcPr>
          <w:p w14:paraId="4129C97C">
            <w:pPr>
              <w:pStyle w:val="16"/>
              <w:keepNext/>
              <w:spacing w:after="0" w:line="440" w:lineRule="exact"/>
              <w:ind w:left="63" w:right="63"/>
              <w:rPr>
                <w:rFonts w:eastAsia="仿宋_GB2312"/>
                <w:color w:val="000000"/>
                <w:kern w:val="2"/>
                <w:sz w:val="28"/>
                <w:szCs w:val="30"/>
                <w:lang w:val="en-US" w:eastAsia="zh-CN"/>
              </w:rPr>
            </w:pPr>
          </w:p>
        </w:tc>
        <w:tc>
          <w:tcPr>
            <w:tcW w:w="1701" w:type="dxa"/>
            <w:noWrap w:val="0"/>
            <w:vAlign w:val="top"/>
          </w:tcPr>
          <w:p w14:paraId="74FCC914">
            <w:pPr>
              <w:pStyle w:val="16"/>
              <w:keepNext/>
              <w:spacing w:after="0" w:line="440" w:lineRule="exact"/>
              <w:ind w:left="63" w:right="63"/>
              <w:rPr>
                <w:rFonts w:eastAsia="仿宋_GB2312"/>
                <w:color w:val="000000"/>
                <w:kern w:val="2"/>
                <w:sz w:val="28"/>
                <w:szCs w:val="30"/>
                <w:lang w:val="en-US" w:eastAsia="zh-CN"/>
              </w:rPr>
            </w:pPr>
          </w:p>
        </w:tc>
      </w:tr>
    </w:tbl>
    <w:p w14:paraId="48491E53">
      <w:pPr>
        <w:spacing w:line="440" w:lineRule="exact"/>
        <w:rPr>
          <w:rFonts w:ascii="Times New Roman" w:hAnsi="Times New Roman" w:eastAsia="仿宋_GB2312"/>
          <w:color w:val="000000"/>
          <w:sz w:val="30"/>
          <w:szCs w:val="30"/>
        </w:rPr>
      </w:pPr>
    </w:p>
    <w:p w14:paraId="734893EE">
      <w:pPr>
        <w:spacing w:before="156" w:beforeLines="50" w:after="156" w:afterLines="50" w:line="440" w:lineRule="exact"/>
        <w:jc w:val="center"/>
        <w:rPr>
          <w:rFonts w:ascii="Times New Roman" w:hAnsi="Times New Roman" w:eastAsia="黑体"/>
          <w:color w:val="000000"/>
          <w:sz w:val="30"/>
          <w:szCs w:val="30"/>
        </w:rPr>
      </w:pPr>
      <w:r>
        <w:rPr>
          <w:rFonts w:ascii="Times New Roman" w:hAnsi="Times New Roman" w:eastAsia="仿宋_GB2312"/>
          <w:color w:val="000000"/>
          <w:sz w:val="30"/>
          <w:szCs w:val="30"/>
        </w:rPr>
        <w:br w:type="page"/>
      </w:r>
      <w:r>
        <w:rPr>
          <w:rFonts w:ascii="Times New Roman" w:hAnsi="Times New Roman" w:eastAsia="黑体"/>
          <w:color w:val="000000"/>
          <w:sz w:val="30"/>
          <w:szCs w:val="30"/>
        </w:rPr>
        <w:t>11-3：专业工程暂估价表</w:t>
      </w:r>
    </w:p>
    <w:tbl>
      <w:tblPr>
        <w:tblStyle w:val="34"/>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28" w:type="dxa"/>
          <w:bottom w:w="0" w:type="dxa"/>
          <w:right w:w="28" w:type="dxa"/>
        </w:tblCellMar>
      </w:tblPr>
      <w:tblGrid>
        <w:gridCol w:w="879"/>
        <w:gridCol w:w="1984"/>
        <w:gridCol w:w="4678"/>
        <w:gridCol w:w="1276"/>
      </w:tblGrid>
      <w:tr w14:paraId="66757B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single" w:color="auto" w:sz="12" w:space="0"/>
              <w:bottom w:val="double" w:color="auto" w:sz="6" w:space="0"/>
            </w:tcBorders>
            <w:noWrap w:val="0"/>
            <w:vAlign w:val="top"/>
          </w:tcPr>
          <w:p w14:paraId="3A4024EE">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序号</w:t>
            </w:r>
          </w:p>
        </w:tc>
        <w:tc>
          <w:tcPr>
            <w:tcW w:w="1984" w:type="dxa"/>
            <w:tcBorders>
              <w:top w:val="single" w:color="auto" w:sz="12" w:space="0"/>
              <w:bottom w:val="double" w:color="auto" w:sz="6" w:space="0"/>
            </w:tcBorders>
            <w:noWrap w:val="0"/>
            <w:vAlign w:val="top"/>
          </w:tcPr>
          <w:p w14:paraId="5890DABB">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专业工程名称</w:t>
            </w:r>
          </w:p>
        </w:tc>
        <w:tc>
          <w:tcPr>
            <w:tcW w:w="4678" w:type="dxa"/>
            <w:tcBorders>
              <w:top w:val="single" w:color="auto" w:sz="12" w:space="0"/>
              <w:bottom w:val="double" w:color="auto" w:sz="6" w:space="0"/>
            </w:tcBorders>
            <w:noWrap w:val="0"/>
            <w:vAlign w:val="top"/>
          </w:tcPr>
          <w:p w14:paraId="4E51672A">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工程内容</w:t>
            </w:r>
          </w:p>
        </w:tc>
        <w:tc>
          <w:tcPr>
            <w:tcW w:w="1276" w:type="dxa"/>
            <w:tcBorders>
              <w:top w:val="single" w:color="auto" w:sz="12" w:space="0"/>
              <w:bottom w:val="double" w:color="auto" w:sz="6" w:space="0"/>
            </w:tcBorders>
            <w:noWrap w:val="0"/>
            <w:vAlign w:val="top"/>
          </w:tcPr>
          <w:p w14:paraId="44AFD6FF">
            <w:pPr>
              <w:pStyle w:val="16"/>
              <w:keepNext/>
              <w:spacing w:after="0" w:line="440" w:lineRule="exact"/>
              <w:ind w:left="63" w:right="63"/>
              <w:rPr>
                <w:rFonts w:eastAsia="仿宋_GB2312"/>
                <w:color w:val="000000"/>
                <w:kern w:val="2"/>
                <w:sz w:val="28"/>
                <w:szCs w:val="30"/>
                <w:lang w:val="en-US" w:eastAsia="zh-CN"/>
              </w:rPr>
            </w:pPr>
            <w:r>
              <w:rPr>
                <w:rFonts w:eastAsia="仿宋_GB2312"/>
                <w:color w:val="000000"/>
                <w:kern w:val="2"/>
                <w:sz w:val="28"/>
                <w:szCs w:val="30"/>
                <w:lang w:val="en-US" w:eastAsia="zh-CN"/>
              </w:rPr>
              <w:t>金额</w:t>
            </w:r>
          </w:p>
        </w:tc>
      </w:tr>
      <w:tr w14:paraId="7D78E3E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double" w:color="auto" w:sz="6" w:space="0"/>
              <w:bottom w:val="single" w:color="auto" w:sz="6" w:space="0"/>
            </w:tcBorders>
            <w:noWrap w:val="0"/>
            <w:vAlign w:val="top"/>
          </w:tcPr>
          <w:p w14:paraId="1E55E2F0">
            <w:pPr>
              <w:pStyle w:val="16"/>
              <w:keepNext/>
              <w:spacing w:after="0" w:line="440" w:lineRule="exact"/>
              <w:ind w:left="63" w:right="63"/>
              <w:rPr>
                <w:color w:val="000000"/>
                <w:kern w:val="2"/>
                <w:sz w:val="21"/>
                <w:szCs w:val="21"/>
                <w:lang w:val="en-US" w:eastAsia="zh-CN"/>
              </w:rPr>
            </w:pPr>
          </w:p>
        </w:tc>
        <w:tc>
          <w:tcPr>
            <w:tcW w:w="1984" w:type="dxa"/>
            <w:tcBorders>
              <w:top w:val="double" w:color="auto" w:sz="6" w:space="0"/>
              <w:bottom w:val="single" w:color="auto" w:sz="6" w:space="0"/>
            </w:tcBorders>
            <w:noWrap w:val="0"/>
            <w:vAlign w:val="top"/>
          </w:tcPr>
          <w:p w14:paraId="30C02CAB">
            <w:pPr>
              <w:pStyle w:val="16"/>
              <w:keepNext/>
              <w:spacing w:after="0" w:line="440" w:lineRule="exact"/>
              <w:ind w:left="63" w:right="63"/>
              <w:rPr>
                <w:color w:val="000000"/>
                <w:kern w:val="2"/>
                <w:sz w:val="21"/>
                <w:szCs w:val="21"/>
                <w:lang w:val="en-US" w:eastAsia="zh-CN"/>
              </w:rPr>
            </w:pPr>
          </w:p>
        </w:tc>
        <w:tc>
          <w:tcPr>
            <w:tcW w:w="4678" w:type="dxa"/>
            <w:tcBorders>
              <w:top w:val="double" w:color="auto" w:sz="6" w:space="0"/>
              <w:bottom w:val="single" w:color="auto" w:sz="6" w:space="0"/>
            </w:tcBorders>
            <w:noWrap w:val="0"/>
            <w:vAlign w:val="top"/>
          </w:tcPr>
          <w:p w14:paraId="77E932E3">
            <w:pPr>
              <w:pStyle w:val="16"/>
              <w:keepNext/>
              <w:spacing w:after="0" w:line="440" w:lineRule="exact"/>
              <w:ind w:left="63" w:right="63"/>
              <w:rPr>
                <w:color w:val="000000"/>
                <w:kern w:val="2"/>
                <w:sz w:val="21"/>
                <w:szCs w:val="21"/>
                <w:lang w:val="en-US" w:eastAsia="zh-CN"/>
              </w:rPr>
            </w:pPr>
          </w:p>
        </w:tc>
        <w:tc>
          <w:tcPr>
            <w:tcW w:w="1276" w:type="dxa"/>
            <w:tcBorders>
              <w:top w:val="double" w:color="auto" w:sz="6" w:space="0"/>
              <w:bottom w:val="single" w:color="auto" w:sz="6" w:space="0"/>
            </w:tcBorders>
            <w:noWrap w:val="0"/>
            <w:vAlign w:val="top"/>
          </w:tcPr>
          <w:p w14:paraId="5BFD995F">
            <w:pPr>
              <w:pStyle w:val="16"/>
              <w:keepNext/>
              <w:spacing w:after="0" w:line="440" w:lineRule="exact"/>
              <w:ind w:left="63" w:right="63"/>
              <w:rPr>
                <w:color w:val="000000"/>
                <w:kern w:val="2"/>
                <w:sz w:val="21"/>
                <w:szCs w:val="21"/>
                <w:lang w:val="en-US" w:eastAsia="zh-CN"/>
              </w:rPr>
            </w:pPr>
          </w:p>
        </w:tc>
      </w:tr>
      <w:tr w14:paraId="368868B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14:paraId="45C0F6F4">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77DD937A">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2B0413E5">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33469600">
            <w:pPr>
              <w:pStyle w:val="16"/>
              <w:keepNext/>
              <w:spacing w:after="0" w:line="440" w:lineRule="exact"/>
              <w:ind w:left="63" w:right="63"/>
              <w:rPr>
                <w:color w:val="000000"/>
                <w:kern w:val="2"/>
                <w:sz w:val="21"/>
                <w:szCs w:val="21"/>
                <w:lang w:val="en-US" w:eastAsia="zh-CN"/>
              </w:rPr>
            </w:pPr>
          </w:p>
        </w:tc>
      </w:tr>
      <w:tr w14:paraId="793CCBB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tcBorders>
              <w:top w:val="nil"/>
            </w:tcBorders>
            <w:noWrap w:val="0"/>
            <w:vAlign w:val="top"/>
          </w:tcPr>
          <w:p w14:paraId="1CDE1586">
            <w:pPr>
              <w:pStyle w:val="16"/>
              <w:keepNext/>
              <w:spacing w:after="0" w:line="440" w:lineRule="exact"/>
              <w:ind w:left="63" w:right="63"/>
              <w:rPr>
                <w:color w:val="000000"/>
                <w:kern w:val="2"/>
                <w:sz w:val="21"/>
                <w:szCs w:val="21"/>
                <w:lang w:val="en-US" w:eastAsia="zh-CN"/>
              </w:rPr>
            </w:pPr>
          </w:p>
        </w:tc>
        <w:tc>
          <w:tcPr>
            <w:tcW w:w="1984" w:type="dxa"/>
            <w:tcBorders>
              <w:top w:val="nil"/>
            </w:tcBorders>
            <w:noWrap w:val="0"/>
            <w:vAlign w:val="top"/>
          </w:tcPr>
          <w:p w14:paraId="10BB594D">
            <w:pPr>
              <w:pStyle w:val="16"/>
              <w:keepNext/>
              <w:spacing w:after="0" w:line="440" w:lineRule="exact"/>
              <w:ind w:left="63" w:right="63"/>
              <w:rPr>
                <w:color w:val="000000"/>
                <w:kern w:val="2"/>
                <w:sz w:val="21"/>
                <w:szCs w:val="21"/>
                <w:lang w:val="en-US" w:eastAsia="zh-CN"/>
              </w:rPr>
            </w:pPr>
          </w:p>
        </w:tc>
        <w:tc>
          <w:tcPr>
            <w:tcW w:w="4678" w:type="dxa"/>
            <w:tcBorders>
              <w:top w:val="nil"/>
            </w:tcBorders>
            <w:noWrap w:val="0"/>
            <w:vAlign w:val="top"/>
          </w:tcPr>
          <w:p w14:paraId="340EC813">
            <w:pPr>
              <w:pStyle w:val="16"/>
              <w:keepNext/>
              <w:spacing w:after="0" w:line="440" w:lineRule="exact"/>
              <w:ind w:left="63" w:right="63"/>
              <w:rPr>
                <w:color w:val="000000"/>
                <w:kern w:val="2"/>
                <w:sz w:val="21"/>
                <w:szCs w:val="21"/>
                <w:lang w:val="en-US" w:eastAsia="zh-CN"/>
              </w:rPr>
            </w:pPr>
          </w:p>
        </w:tc>
        <w:tc>
          <w:tcPr>
            <w:tcW w:w="1276" w:type="dxa"/>
            <w:tcBorders>
              <w:top w:val="nil"/>
            </w:tcBorders>
            <w:noWrap w:val="0"/>
            <w:vAlign w:val="top"/>
          </w:tcPr>
          <w:p w14:paraId="4538146A">
            <w:pPr>
              <w:pStyle w:val="16"/>
              <w:keepNext/>
              <w:spacing w:after="0" w:line="440" w:lineRule="exact"/>
              <w:ind w:left="63" w:right="63"/>
              <w:rPr>
                <w:color w:val="000000"/>
                <w:kern w:val="2"/>
                <w:sz w:val="21"/>
                <w:szCs w:val="21"/>
                <w:lang w:val="en-US" w:eastAsia="zh-CN"/>
              </w:rPr>
            </w:pPr>
          </w:p>
        </w:tc>
      </w:tr>
      <w:tr w14:paraId="2847968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0AC03F5">
            <w:pPr>
              <w:pStyle w:val="16"/>
              <w:keepNext/>
              <w:spacing w:after="0" w:line="440" w:lineRule="exact"/>
              <w:ind w:left="63" w:right="63"/>
              <w:rPr>
                <w:color w:val="000000"/>
                <w:kern w:val="2"/>
                <w:sz w:val="21"/>
                <w:szCs w:val="21"/>
                <w:lang w:val="en-US" w:eastAsia="zh-CN"/>
              </w:rPr>
            </w:pPr>
          </w:p>
        </w:tc>
        <w:tc>
          <w:tcPr>
            <w:tcW w:w="1984" w:type="dxa"/>
            <w:noWrap w:val="0"/>
            <w:vAlign w:val="top"/>
          </w:tcPr>
          <w:p w14:paraId="7F4C1F87">
            <w:pPr>
              <w:pStyle w:val="16"/>
              <w:keepNext/>
              <w:spacing w:after="0" w:line="440" w:lineRule="exact"/>
              <w:ind w:left="63" w:right="63"/>
              <w:rPr>
                <w:color w:val="000000"/>
                <w:kern w:val="2"/>
                <w:sz w:val="21"/>
                <w:szCs w:val="21"/>
                <w:lang w:val="en-US" w:eastAsia="zh-CN"/>
              </w:rPr>
            </w:pPr>
          </w:p>
        </w:tc>
        <w:tc>
          <w:tcPr>
            <w:tcW w:w="4678" w:type="dxa"/>
            <w:noWrap w:val="0"/>
            <w:vAlign w:val="top"/>
          </w:tcPr>
          <w:p w14:paraId="5CBC85C9">
            <w:pPr>
              <w:pStyle w:val="16"/>
              <w:keepNext/>
              <w:spacing w:after="0" w:line="440" w:lineRule="exact"/>
              <w:ind w:left="63" w:right="63"/>
              <w:rPr>
                <w:color w:val="000000"/>
                <w:kern w:val="2"/>
                <w:sz w:val="21"/>
                <w:szCs w:val="21"/>
                <w:lang w:val="en-US" w:eastAsia="zh-CN"/>
              </w:rPr>
            </w:pPr>
          </w:p>
        </w:tc>
        <w:tc>
          <w:tcPr>
            <w:tcW w:w="1276" w:type="dxa"/>
            <w:noWrap w:val="0"/>
            <w:vAlign w:val="top"/>
          </w:tcPr>
          <w:p w14:paraId="06D54880">
            <w:pPr>
              <w:pStyle w:val="16"/>
              <w:keepNext/>
              <w:spacing w:after="0" w:line="440" w:lineRule="exact"/>
              <w:ind w:left="63" w:right="63"/>
              <w:rPr>
                <w:color w:val="000000"/>
                <w:kern w:val="2"/>
                <w:sz w:val="21"/>
                <w:szCs w:val="21"/>
                <w:lang w:val="en-US" w:eastAsia="zh-CN"/>
              </w:rPr>
            </w:pPr>
          </w:p>
        </w:tc>
      </w:tr>
      <w:tr w14:paraId="093E205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3F641434">
            <w:pPr>
              <w:pStyle w:val="16"/>
              <w:keepNext/>
              <w:spacing w:after="0" w:line="440" w:lineRule="exact"/>
              <w:ind w:left="63" w:right="63"/>
              <w:rPr>
                <w:color w:val="000000"/>
                <w:kern w:val="2"/>
                <w:sz w:val="21"/>
                <w:szCs w:val="21"/>
                <w:lang w:val="en-US" w:eastAsia="zh-CN"/>
              </w:rPr>
            </w:pPr>
          </w:p>
        </w:tc>
        <w:tc>
          <w:tcPr>
            <w:tcW w:w="1984" w:type="dxa"/>
            <w:noWrap w:val="0"/>
            <w:vAlign w:val="top"/>
          </w:tcPr>
          <w:p w14:paraId="11853DF2">
            <w:pPr>
              <w:pStyle w:val="16"/>
              <w:keepNext/>
              <w:spacing w:after="0" w:line="440" w:lineRule="exact"/>
              <w:ind w:left="63" w:right="63"/>
              <w:rPr>
                <w:color w:val="000000"/>
                <w:kern w:val="2"/>
                <w:sz w:val="21"/>
                <w:szCs w:val="21"/>
                <w:lang w:val="en-US" w:eastAsia="zh-CN"/>
              </w:rPr>
            </w:pPr>
          </w:p>
        </w:tc>
        <w:tc>
          <w:tcPr>
            <w:tcW w:w="4678" w:type="dxa"/>
            <w:noWrap w:val="0"/>
            <w:vAlign w:val="top"/>
          </w:tcPr>
          <w:p w14:paraId="185CE83D">
            <w:pPr>
              <w:pStyle w:val="16"/>
              <w:keepNext/>
              <w:spacing w:after="0" w:line="440" w:lineRule="exact"/>
              <w:ind w:left="63" w:right="63"/>
              <w:rPr>
                <w:color w:val="000000"/>
                <w:kern w:val="2"/>
                <w:sz w:val="21"/>
                <w:szCs w:val="21"/>
                <w:lang w:val="en-US" w:eastAsia="zh-CN"/>
              </w:rPr>
            </w:pPr>
          </w:p>
        </w:tc>
        <w:tc>
          <w:tcPr>
            <w:tcW w:w="1276" w:type="dxa"/>
            <w:noWrap w:val="0"/>
            <w:vAlign w:val="top"/>
          </w:tcPr>
          <w:p w14:paraId="1A8AFE5F">
            <w:pPr>
              <w:pStyle w:val="16"/>
              <w:keepNext/>
              <w:spacing w:after="0" w:line="440" w:lineRule="exact"/>
              <w:ind w:left="63" w:right="63"/>
              <w:rPr>
                <w:color w:val="000000"/>
                <w:kern w:val="2"/>
                <w:sz w:val="21"/>
                <w:szCs w:val="21"/>
                <w:lang w:val="en-US" w:eastAsia="zh-CN"/>
              </w:rPr>
            </w:pPr>
          </w:p>
        </w:tc>
      </w:tr>
      <w:tr w14:paraId="011BB50F">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AB00F28">
            <w:pPr>
              <w:pStyle w:val="16"/>
              <w:keepNext/>
              <w:spacing w:after="0" w:line="440" w:lineRule="exact"/>
              <w:ind w:left="63" w:right="63"/>
              <w:rPr>
                <w:color w:val="000000"/>
                <w:kern w:val="2"/>
                <w:sz w:val="21"/>
                <w:szCs w:val="21"/>
                <w:lang w:val="en-US" w:eastAsia="zh-CN"/>
              </w:rPr>
            </w:pPr>
          </w:p>
        </w:tc>
        <w:tc>
          <w:tcPr>
            <w:tcW w:w="1984" w:type="dxa"/>
            <w:noWrap w:val="0"/>
            <w:vAlign w:val="top"/>
          </w:tcPr>
          <w:p w14:paraId="0DB02B61">
            <w:pPr>
              <w:pStyle w:val="16"/>
              <w:keepNext/>
              <w:spacing w:after="0" w:line="440" w:lineRule="exact"/>
              <w:ind w:left="63" w:right="63"/>
              <w:rPr>
                <w:color w:val="000000"/>
                <w:kern w:val="2"/>
                <w:sz w:val="21"/>
                <w:szCs w:val="21"/>
                <w:lang w:val="en-US" w:eastAsia="zh-CN"/>
              </w:rPr>
            </w:pPr>
          </w:p>
        </w:tc>
        <w:tc>
          <w:tcPr>
            <w:tcW w:w="4678" w:type="dxa"/>
            <w:noWrap w:val="0"/>
            <w:vAlign w:val="top"/>
          </w:tcPr>
          <w:p w14:paraId="57133AC2">
            <w:pPr>
              <w:pStyle w:val="16"/>
              <w:keepNext/>
              <w:spacing w:after="0" w:line="440" w:lineRule="exact"/>
              <w:ind w:left="63" w:right="63"/>
              <w:rPr>
                <w:color w:val="000000"/>
                <w:kern w:val="2"/>
                <w:sz w:val="21"/>
                <w:szCs w:val="21"/>
                <w:lang w:val="en-US" w:eastAsia="zh-CN"/>
              </w:rPr>
            </w:pPr>
          </w:p>
        </w:tc>
        <w:tc>
          <w:tcPr>
            <w:tcW w:w="1276" w:type="dxa"/>
            <w:noWrap w:val="0"/>
            <w:vAlign w:val="top"/>
          </w:tcPr>
          <w:p w14:paraId="7A00376F">
            <w:pPr>
              <w:pStyle w:val="16"/>
              <w:keepNext/>
              <w:spacing w:after="0" w:line="440" w:lineRule="exact"/>
              <w:ind w:left="63" w:right="63"/>
              <w:rPr>
                <w:color w:val="000000"/>
                <w:kern w:val="2"/>
                <w:sz w:val="21"/>
                <w:szCs w:val="21"/>
                <w:lang w:val="en-US" w:eastAsia="zh-CN"/>
              </w:rPr>
            </w:pPr>
          </w:p>
        </w:tc>
      </w:tr>
      <w:tr w14:paraId="6E2EFC6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9A8E10A">
            <w:pPr>
              <w:pStyle w:val="16"/>
              <w:keepNext/>
              <w:spacing w:after="0" w:line="440" w:lineRule="exact"/>
              <w:ind w:left="63" w:right="63"/>
              <w:rPr>
                <w:color w:val="000000"/>
                <w:kern w:val="2"/>
                <w:sz w:val="21"/>
                <w:szCs w:val="21"/>
                <w:lang w:val="en-US" w:eastAsia="zh-CN"/>
              </w:rPr>
            </w:pPr>
          </w:p>
        </w:tc>
        <w:tc>
          <w:tcPr>
            <w:tcW w:w="1984" w:type="dxa"/>
            <w:noWrap w:val="0"/>
            <w:vAlign w:val="top"/>
          </w:tcPr>
          <w:p w14:paraId="74889FD0">
            <w:pPr>
              <w:pStyle w:val="16"/>
              <w:keepNext/>
              <w:spacing w:after="0" w:line="440" w:lineRule="exact"/>
              <w:ind w:left="63" w:right="63"/>
              <w:rPr>
                <w:color w:val="000000"/>
                <w:kern w:val="2"/>
                <w:sz w:val="21"/>
                <w:szCs w:val="21"/>
                <w:lang w:val="en-US" w:eastAsia="zh-CN"/>
              </w:rPr>
            </w:pPr>
          </w:p>
        </w:tc>
        <w:tc>
          <w:tcPr>
            <w:tcW w:w="4678" w:type="dxa"/>
            <w:noWrap w:val="0"/>
            <w:vAlign w:val="top"/>
          </w:tcPr>
          <w:p w14:paraId="6A1DCA80">
            <w:pPr>
              <w:pStyle w:val="16"/>
              <w:keepNext/>
              <w:spacing w:after="0" w:line="440" w:lineRule="exact"/>
              <w:ind w:left="63" w:right="63"/>
              <w:rPr>
                <w:color w:val="000000"/>
                <w:kern w:val="2"/>
                <w:sz w:val="21"/>
                <w:szCs w:val="21"/>
                <w:lang w:val="en-US" w:eastAsia="zh-CN"/>
              </w:rPr>
            </w:pPr>
          </w:p>
        </w:tc>
        <w:tc>
          <w:tcPr>
            <w:tcW w:w="1276" w:type="dxa"/>
            <w:noWrap w:val="0"/>
            <w:vAlign w:val="top"/>
          </w:tcPr>
          <w:p w14:paraId="074A5E9C">
            <w:pPr>
              <w:pStyle w:val="16"/>
              <w:keepNext/>
              <w:spacing w:after="0" w:line="440" w:lineRule="exact"/>
              <w:ind w:left="63" w:right="63"/>
              <w:rPr>
                <w:color w:val="000000"/>
                <w:kern w:val="2"/>
                <w:sz w:val="21"/>
                <w:szCs w:val="21"/>
                <w:lang w:val="en-US" w:eastAsia="zh-CN"/>
              </w:rPr>
            </w:pPr>
          </w:p>
        </w:tc>
      </w:tr>
      <w:tr w14:paraId="0580B3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7904B485">
            <w:pPr>
              <w:pStyle w:val="16"/>
              <w:keepNext/>
              <w:spacing w:after="0" w:line="440" w:lineRule="exact"/>
              <w:ind w:left="63" w:right="63"/>
              <w:rPr>
                <w:color w:val="000000"/>
                <w:kern w:val="2"/>
                <w:sz w:val="21"/>
                <w:szCs w:val="21"/>
                <w:lang w:val="en-US" w:eastAsia="zh-CN"/>
              </w:rPr>
            </w:pPr>
          </w:p>
        </w:tc>
        <w:tc>
          <w:tcPr>
            <w:tcW w:w="1984" w:type="dxa"/>
            <w:noWrap w:val="0"/>
            <w:vAlign w:val="top"/>
          </w:tcPr>
          <w:p w14:paraId="2759C966">
            <w:pPr>
              <w:pStyle w:val="16"/>
              <w:keepNext/>
              <w:spacing w:after="0" w:line="440" w:lineRule="exact"/>
              <w:ind w:left="63" w:right="63"/>
              <w:rPr>
                <w:color w:val="000000"/>
                <w:kern w:val="2"/>
                <w:sz w:val="21"/>
                <w:szCs w:val="21"/>
                <w:lang w:val="en-US" w:eastAsia="zh-CN"/>
              </w:rPr>
            </w:pPr>
          </w:p>
        </w:tc>
        <w:tc>
          <w:tcPr>
            <w:tcW w:w="4678" w:type="dxa"/>
            <w:noWrap w:val="0"/>
            <w:vAlign w:val="top"/>
          </w:tcPr>
          <w:p w14:paraId="1F27B77B">
            <w:pPr>
              <w:pStyle w:val="16"/>
              <w:keepNext/>
              <w:spacing w:after="0" w:line="440" w:lineRule="exact"/>
              <w:ind w:left="63" w:right="63"/>
              <w:rPr>
                <w:color w:val="000000"/>
                <w:kern w:val="2"/>
                <w:sz w:val="21"/>
                <w:szCs w:val="21"/>
                <w:lang w:val="en-US" w:eastAsia="zh-CN"/>
              </w:rPr>
            </w:pPr>
          </w:p>
        </w:tc>
        <w:tc>
          <w:tcPr>
            <w:tcW w:w="1276" w:type="dxa"/>
            <w:noWrap w:val="0"/>
            <w:vAlign w:val="top"/>
          </w:tcPr>
          <w:p w14:paraId="24C7BA42">
            <w:pPr>
              <w:pStyle w:val="16"/>
              <w:keepNext/>
              <w:spacing w:after="0" w:line="440" w:lineRule="exact"/>
              <w:ind w:left="63" w:right="63"/>
              <w:rPr>
                <w:color w:val="000000"/>
                <w:kern w:val="2"/>
                <w:sz w:val="21"/>
                <w:szCs w:val="21"/>
                <w:lang w:val="en-US" w:eastAsia="zh-CN"/>
              </w:rPr>
            </w:pPr>
          </w:p>
        </w:tc>
      </w:tr>
      <w:tr w14:paraId="7AD7091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65012ED0">
            <w:pPr>
              <w:pStyle w:val="16"/>
              <w:keepNext/>
              <w:spacing w:after="0" w:line="440" w:lineRule="exact"/>
              <w:ind w:left="63" w:right="63"/>
              <w:rPr>
                <w:color w:val="000000"/>
                <w:kern w:val="2"/>
                <w:sz w:val="21"/>
                <w:szCs w:val="21"/>
                <w:lang w:val="en-US" w:eastAsia="zh-CN"/>
              </w:rPr>
            </w:pPr>
          </w:p>
        </w:tc>
        <w:tc>
          <w:tcPr>
            <w:tcW w:w="1984" w:type="dxa"/>
            <w:noWrap w:val="0"/>
            <w:vAlign w:val="top"/>
          </w:tcPr>
          <w:p w14:paraId="0C62111D">
            <w:pPr>
              <w:pStyle w:val="16"/>
              <w:keepNext/>
              <w:spacing w:after="0" w:line="440" w:lineRule="exact"/>
              <w:ind w:left="63" w:right="63"/>
              <w:rPr>
                <w:color w:val="000000"/>
                <w:kern w:val="2"/>
                <w:sz w:val="21"/>
                <w:szCs w:val="21"/>
                <w:lang w:val="en-US" w:eastAsia="zh-CN"/>
              </w:rPr>
            </w:pPr>
          </w:p>
        </w:tc>
        <w:tc>
          <w:tcPr>
            <w:tcW w:w="4678" w:type="dxa"/>
            <w:noWrap w:val="0"/>
            <w:vAlign w:val="top"/>
          </w:tcPr>
          <w:p w14:paraId="459DD670">
            <w:pPr>
              <w:pStyle w:val="16"/>
              <w:keepNext/>
              <w:spacing w:after="0" w:line="440" w:lineRule="exact"/>
              <w:ind w:left="63" w:right="63"/>
              <w:rPr>
                <w:color w:val="000000"/>
                <w:kern w:val="2"/>
                <w:sz w:val="21"/>
                <w:szCs w:val="21"/>
                <w:lang w:val="en-US" w:eastAsia="zh-CN"/>
              </w:rPr>
            </w:pPr>
          </w:p>
        </w:tc>
        <w:tc>
          <w:tcPr>
            <w:tcW w:w="1276" w:type="dxa"/>
            <w:noWrap w:val="0"/>
            <w:vAlign w:val="top"/>
          </w:tcPr>
          <w:p w14:paraId="3D14CE69">
            <w:pPr>
              <w:pStyle w:val="16"/>
              <w:keepNext/>
              <w:spacing w:after="0" w:line="440" w:lineRule="exact"/>
              <w:ind w:left="63" w:right="63"/>
              <w:rPr>
                <w:color w:val="000000"/>
                <w:kern w:val="2"/>
                <w:sz w:val="21"/>
                <w:szCs w:val="21"/>
                <w:lang w:val="en-US" w:eastAsia="zh-CN"/>
              </w:rPr>
            </w:pPr>
          </w:p>
        </w:tc>
      </w:tr>
      <w:tr w14:paraId="1D7E4F6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3F11D780">
            <w:pPr>
              <w:pStyle w:val="16"/>
              <w:keepNext/>
              <w:spacing w:after="0" w:line="440" w:lineRule="exact"/>
              <w:ind w:left="63" w:right="63"/>
              <w:rPr>
                <w:color w:val="000000"/>
                <w:kern w:val="2"/>
                <w:sz w:val="21"/>
                <w:szCs w:val="21"/>
                <w:lang w:val="en-US" w:eastAsia="zh-CN"/>
              </w:rPr>
            </w:pPr>
          </w:p>
        </w:tc>
        <w:tc>
          <w:tcPr>
            <w:tcW w:w="1984" w:type="dxa"/>
            <w:noWrap w:val="0"/>
            <w:vAlign w:val="top"/>
          </w:tcPr>
          <w:p w14:paraId="0AB40CA6">
            <w:pPr>
              <w:pStyle w:val="16"/>
              <w:keepNext/>
              <w:spacing w:after="0" w:line="440" w:lineRule="exact"/>
              <w:ind w:left="63" w:right="63"/>
              <w:rPr>
                <w:color w:val="000000"/>
                <w:kern w:val="2"/>
                <w:sz w:val="21"/>
                <w:szCs w:val="21"/>
                <w:lang w:val="en-US" w:eastAsia="zh-CN"/>
              </w:rPr>
            </w:pPr>
          </w:p>
        </w:tc>
        <w:tc>
          <w:tcPr>
            <w:tcW w:w="4678" w:type="dxa"/>
            <w:noWrap w:val="0"/>
            <w:vAlign w:val="top"/>
          </w:tcPr>
          <w:p w14:paraId="1E664521">
            <w:pPr>
              <w:pStyle w:val="16"/>
              <w:keepNext/>
              <w:spacing w:after="0" w:line="440" w:lineRule="exact"/>
              <w:ind w:left="63" w:right="63"/>
              <w:rPr>
                <w:color w:val="000000"/>
                <w:kern w:val="2"/>
                <w:sz w:val="21"/>
                <w:szCs w:val="21"/>
                <w:lang w:val="en-US" w:eastAsia="zh-CN"/>
              </w:rPr>
            </w:pPr>
          </w:p>
        </w:tc>
        <w:tc>
          <w:tcPr>
            <w:tcW w:w="1276" w:type="dxa"/>
            <w:noWrap w:val="0"/>
            <w:vAlign w:val="top"/>
          </w:tcPr>
          <w:p w14:paraId="4C048C12">
            <w:pPr>
              <w:pStyle w:val="16"/>
              <w:keepNext/>
              <w:spacing w:after="0" w:line="440" w:lineRule="exact"/>
              <w:ind w:left="63" w:right="63"/>
              <w:rPr>
                <w:color w:val="000000"/>
                <w:kern w:val="2"/>
                <w:sz w:val="21"/>
                <w:szCs w:val="21"/>
                <w:lang w:val="en-US" w:eastAsia="zh-CN"/>
              </w:rPr>
            </w:pPr>
          </w:p>
        </w:tc>
      </w:tr>
      <w:tr w14:paraId="3DEA882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7E7CD0A7">
            <w:pPr>
              <w:pStyle w:val="16"/>
              <w:keepNext/>
              <w:spacing w:after="0" w:line="440" w:lineRule="exact"/>
              <w:ind w:left="63" w:right="63"/>
              <w:rPr>
                <w:color w:val="000000"/>
                <w:kern w:val="2"/>
                <w:sz w:val="21"/>
                <w:szCs w:val="21"/>
                <w:lang w:val="en-US" w:eastAsia="zh-CN"/>
              </w:rPr>
            </w:pPr>
          </w:p>
        </w:tc>
        <w:tc>
          <w:tcPr>
            <w:tcW w:w="1984" w:type="dxa"/>
            <w:noWrap w:val="0"/>
            <w:vAlign w:val="top"/>
          </w:tcPr>
          <w:p w14:paraId="5E421B56">
            <w:pPr>
              <w:pStyle w:val="16"/>
              <w:keepNext/>
              <w:spacing w:after="0" w:line="440" w:lineRule="exact"/>
              <w:ind w:left="63" w:right="63"/>
              <w:rPr>
                <w:color w:val="000000"/>
                <w:kern w:val="2"/>
                <w:sz w:val="21"/>
                <w:szCs w:val="21"/>
                <w:lang w:val="en-US" w:eastAsia="zh-CN"/>
              </w:rPr>
            </w:pPr>
          </w:p>
        </w:tc>
        <w:tc>
          <w:tcPr>
            <w:tcW w:w="4678" w:type="dxa"/>
            <w:noWrap w:val="0"/>
            <w:vAlign w:val="top"/>
          </w:tcPr>
          <w:p w14:paraId="129D24DC">
            <w:pPr>
              <w:pStyle w:val="16"/>
              <w:keepNext/>
              <w:spacing w:after="0" w:line="440" w:lineRule="exact"/>
              <w:ind w:left="63" w:right="63"/>
              <w:rPr>
                <w:color w:val="000000"/>
                <w:kern w:val="2"/>
                <w:sz w:val="21"/>
                <w:szCs w:val="21"/>
                <w:lang w:val="en-US" w:eastAsia="zh-CN"/>
              </w:rPr>
            </w:pPr>
          </w:p>
        </w:tc>
        <w:tc>
          <w:tcPr>
            <w:tcW w:w="1276" w:type="dxa"/>
            <w:noWrap w:val="0"/>
            <w:vAlign w:val="top"/>
          </w:tcPr>
          <w:p w14:paraId="6E5F25CC">
            <w:pPr>
              <w:pStyle w:val="16"/>
              <w:keepNext/>
              <w:spacing w:after="0" w:line="440" w:lineRule="exact"/>
              <w:ind w:left="63" w:right="63"/>
              <w:rPr>
                <w:color w:val="000000"/>
                <w:kern w:val="2"/>
                <w:sz w:val="21"/>
                <w:szCs w:val="21"/>
                <w:lang w:val="en-US" w:eastAsia="zh-CN"/>
              </w:rPr>
            </w:pPr>
          </w:p>
        </w:tc>
      </w:tr>
      <w:tr w14:paraId="4E6BB3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E271D07">
            <w:pPr>
              <w:pStyle w:val="16"/>
              <w:keepNext/>
              <w:spacing w:after="0" w:line="440" w:lineRule="exact"/>
              <w:ind w:left="63" w:right="63"/>
              <w:rPr>
                <w:color w:val="000000"/>
                <w:kern w:val="2"/>
                <w:sz w:val="21"/>
                <w:szCs w:val="21"/>
                <w:lang w:val="en-US" w:eastAsia="zh-CN"/>
              </w:rPr>
            </w:pPr>
          </w:p>
        </w:tc>
        <w:tc>
          <w:tcPr>
            <w:tcW w:w="1984" w:type="dxa"/>
            <w:noWrap w:val="0"/>
            <w:vAlign w:val="top"/>
          </w:tcPr>
          <w:p w14:paraId="5ABDA518">
            <w:pPr>
              <w:pStyle w:val="16"/>
              <w:keepNext/>
              <w:spacing w:after="0" w:line="440" w:lineRule="exact"/>
              <w:ind w:left="63" w:right="63"/>
              <w:rPr>
                <w:color w:val="000000"/>
                <w:kern w:val="2"/>
                <w:sz w:val="21"/>
                <w:szCs w:val="21"/>
                <w:lang w:val="en-US" w:eastAsia="zh-CN"/>
              </w:rPr>
            </w:pPr>
          </w:p>
        </w:tc>
        <w:tc>
          <w:tcPr>
            <w:tcW w:w="4678" w:type="dxa"/>
            <w:noWrap w:val="0"/>
            <w:vAlign w:val="top"/>
          </w:tcPr>
          <w:p w14:paraId="74D1F388">
            <w:pPr>
              <w:pStyle w:val="16"/>
              <w:keepNext/>
              <w:spacing w:after="0" w:line="440" w:lineRule="exact"/>
              <w:ind w:left="63" w:right="63"/>
              <w:rPr>
                <w:color w:val="000000"/>
                <w:kern w:val="2"/>
                <w:sz w:val="21"/>
                <w:szCs w:val="21"/>
                <w:lang w:val="en-US" w:eastAsia="zh-CN"/>
              </w:rPr>
            </w:pPr>
          </w:p>
        </w:tc>
        <w:tc>
          <w:tcPr>
            <w:tcW w:w="1276" w:type="dxa"/>
            <w:noWrap w:val="0"/>
            <w:vAlign w:val="top"/>
          </w:tcPr>
          <w:p w14:paraId="195B03E4">
            <w:pPr>
              <w:pStyle w:val="16"/>
              <w:keepNext/>
              <w:spacing w:after="0" w:line="440" w:lineRule="exact"/>
              <w:ind w:left="63" w:right="63"/>
              <w:rPr>
                <w:color w:val="000000"/>
                <w:kern w:val="2"/>
                <w:sz w:val="21"/>
                <w:szCs w:val="21"/>
                <w:lang w:val="en-US" w:eastAsia="zh-CN"/>
              </w:rPr>
            </w:pPr>
          </w:p>
        </w:tc>
      </w:tr>
      <w:tr w14:paraId="019365F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3240445E">
            <w:pPr>
              <w:pStyle w:val="16"/>
              <w:keepNext/>
              <w:spacing w:after="0" w:line="440" w:lineRule="exact"/>
              <w:ind w:left="63" w:right="63"/>
              <w:rPr>
                <w:color w:val="000000"/>
                <w:kern w:val="2"/>
                <w:sz w:val="21"/>
                <w:szCs w:val="21"/>
                <w:lang w:val="en-US" w:eastAsia="zh-CN"/>
              </w:rPr>
            </w:pPr>
          </w:p>
        </w:tc>
        <w:tc>
          <w:tcPr>
            <w:tcW w:w="1984" w:type="dxa"/>
            <w:noWrap w:val="0"/>
            <w:vAlign w:val="top"/>
          </w:tcPr>
          <w:p w14:paraId="178F7DF5">
            <w:pPr>
              <w:pStyle w:val="16"/>
              <w:keepNext/>
              <w:spacing w:after="0" w:line="440" w:lineRule="exact"/>
              <w:ind w:left="63" w:right="63"/>
              <w:rPr>
                <w:color w:val="000000"/>
                <w:kern w:val="2"/>
                <w:sz w:val="21"/>
                <w:szCs w:val="21"/>
                <w:lang w:val="en-US" w:eastAsia="zh-CN"/>
              </w:rPr>
            </w:pPr>
          </w:p>
        </w:tc>
        <w:tc>
          <w:tcPr>
            <w:tcW w:w="4678" w:type="dxa"/>
            <w:noWrap w:val="0"/>
            <w:vAlign w:val="top"/>
          </w:tcPr>
          <w:p w14:paraId="62DBC844">
            <w:pPr>
              <w:pStyle w:val="16"/>
              <w:keepNext/>
              <w:spacing w:after="0" w:line="440" w:lineRule="exact"/>
              <w:ind w:left="63" w:right="63"/>
              <w:rPr>
                <w:color w:val="000000"/>
                <w:kern w:val="2"/>
                <w:sz w:val="21"/>
                <w:szCs w:val="21"/>
                <w:lang w:val="en-US" w:eastAsia="zh-CN"/>
              </w:rPr>
            </w:pPr>
          </w:p>
        </w:tc>
        <w:tc>
          <w:tcPr>
            <w:tcW w:w="1276" w:type="dxa"/>
            <w:noWrap w:val="0"/>
            <w:vAlign w:val="top"/>
          </w:tcPr>
          <w:p w14:paraId="480C1D22">
            <w:pPr>
              <w:pStyle w:val="16"/>
              <w:keepNext/>
              <w:spacing w:after="0" w:line="440" w:lineRule="exact"/>
              <w:ind w:left="63" w:right="63"/>
              <w:rPr>
                <w:color w:val="000000"/>
                <w:kern w:val="2"/>
                <w:sz w:val="21"/>
                <w:szCs w:val="21"/>
                <w:lang w:val="en-US" w:eastAsia="zh-CN"/>
              </w:rPr>
            </w:pPr>
          </w:p>
        </w:tc>
      </w:tr>
      <w:tr w14:paraId="26531F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2CFB02B">
            <w:pPr>
              <w:pStyle w:val="16"/>
              <w:keepNext/>
              <w:spacing w:after="0" w:line="440" w:lineRule="exact"/>
              <w:ind w:left="63" w:right="63"/>
              <w:rPr>
                <w:color w:val="000000"/>
                <w:kern w:val="2"/>
                <w:sz w:val="21"/>
                <w:szCs w:val="21"/>
                <w:lang w:val="en-US" w:eastAsia="zh-CN"/>
              </w:rPr>
            </w:pPr>
          </w:p>
        </w:tc>
        <w:tc>
          <w:tcPr>
            <w:tcW w:w="1984" w:type="dxa"/>
            <w:noWrap w:val="0"/>
            <w:vAlign w:val="top"/>
          </w:tcPr>
          <w:p w14:paraId="0BE318D3">
            <w:pPr>
              <w:pStyle w:val="16"/>
              <w:keepNext/>
              <w:spacing w:after="0" w:line="440" w:lineRule="exact"/>
              <w:ind w:left="63" w:right="63"/>
              <w:rPr>
                <w:color w:val="000000"/>
                <w:kern w:val="2"/>
                <w:sz w:val="21"/>
                <w:szCs w:val="21"/>
                <w:lang w:val="en-US" w:eastAsia="zh-CN"/>
              </w:rPr>
            </w:pPr>
          </w:p>
        </w:tc>
        <w:tc>
          <w:tcPr>
            <w:tcW w:w="4678" w:type="dxa"/>
            <w:noWrap w:val="0"/>
            <w:vAlign w:val="top"/>
          </w:tcPr>
          <w:p w14:paraId="35F25C51">
            <w:pPr>
              <w:pStyle w:val="16"/>
              <w:keepNext/>
              <w:spacing w:after="0" w:line="440" w:lineRule="exact"/>
              <w:ind w:left="63" w:right="63"/>
              <w:rPr>
                <w:color w:val="000000"/>
                <w:kern w:val="2"/>
                <w:sz w:val="21"/>
                <w:szCs w:val="21"/>
                <w:lang w:val="en-US" w:eastAsia="zh-CN"/>
              </w:rPr>
            </w:pPr>
          </w:p>
        </w:tc>
        <w:tc>
          <w:tcPr>
            <w:tcW w:w="1276" w:type="dxa"/>
            <w:noWrap w:val="0"/>
            <w:vAlign w:val="top"/>
          </w:tcPr>
          <w:p w14:paraId="5495BB7E">
            <w:pPr>
              <w:pStyle w:val="16"/>
              <w:keepNext/>
              <w:spacing w:after="0" w:line="440" w:lineRule="exact"/>
              <w:ind w:left="63" w:right="63"/>
              <w:rPr>
                <w:color w:val="000000"/>
                <w:kern w:val="2"/>
                <w:sz w:val="21"/>
                <w:szCs w:val="21"/>
                <w:lang w:val="en-US" w:eastAsia="zh-CN"/>
              </w:rPr>
            </w:pPr>
          </w:p>
        </w:tc>
      </w:tr>
      <w:tr w14:paraId="125CDA3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68EEA8B4">
            <w:pPr>
              <w:pStyle w:val="16"/>
              <w:keepNext/>
              <w:spacing w:after="0" w:line="440" w:lineRule="exact"/>
              <w:ind w:left="63" w:right="63"/>
              <w:rPr>
                <w:color w:val="000000"/>
                <w:kern w:val="2"/>
                <w:sz w:val="21"/>
                <w:szCs w:val="21"/>
                <w:lang w:val="en-US" w:eastAsia="zh-CN"/>
              </w:rPr>
            </w:pPr>
          </w:p>
        </w:tc>
        <w:tc>
          <w:tcPr>
            <w:tcW w:w="1984" w:type="dxa"/>
            <w:noWrap w:val="0"/>
            <w:vAlign w:val="top"/>
          </w:tcPr>
          <w:p w14:paraId="37807663">
            <w:pPr>
              <w:pStyle w:val="16"/>
              <w:keepNext/>
              <w:spacing w:after="0" w:line="440" w:lineRule="exact"/>
              <w:ind w:left="63" w:right="63"/>
              <w:rPr>
                <w:color w:val="000000"/>
                <w:kern w:val="2"/>
                <w:sz w:val="21"/>
                <w:szCs w:val="21"/>
                <w:lang w:val="en-US" w:eastAsia="zh-CN"/>
              </w:rPr>
            </w:pPr>
          </w:p>
        </w:tc>
        <w:tc>
          <w:tcPr>
            <w:tcW w:w="4678" w:type="dxa"/>
            <w:noWrap w:val="0"/>
            <w:vAlign w:val="top"/>
          </w:tcPr>
          <w:p w14:paraId="66467AB2">
            <w:pPr>
              <w:pStyle w:val="16"/>
              <w:keepNext/>
              <w:spacing w:after="0" w:line="440" w:lineRule="exact"/>
              <w:ind w:left="63" w:right="63"/>
              <w:rPr>
                <w:color w:val="000000"/>
                <w:kern w:val="2"/>
                <w:sz w:val="21"/>
                <w:szCs w:val="21"/>
                <w:lang w:val="en-US" w:eastAsia="zh-CN"/>
              </w:rPr>
            </w:pPr>
          </w:p>
        </w:tc>
        <w:tc>
          <w:tcPr>
            <w:tcW w:w="1276" w:type="dxa"/>
            <w:noWrap w:val="0"/>
            <w:vAlign w:val="top"/>
          </w:tcPr>
          <w:p w14:paraId="3B7C7001">
            <w:pPr>
              <w:pStyle w:val="16"/>
              <w:keepNext/>
              <w:spacing w:after="0" w:line="440" w:lineRule="exact"/>
              <w:ind w:left="63" w:right="63"/>
              <w:rPr>
                <w:color w:val="000000"/>
                <w:kern w:val="2"/>
                <w:sz w:val="21"/>
                <w:szCs w:val="21"/>
                <w:lang w:val="en-US" w:eastAsia="zh-CN"/>
              </w:rPr>
            </w:pPr>
          </w:p>
        </w:tc>
      </w:tr>
      <w:tr w14:paraId="5EDCF1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147C37D">
            <w:pPr>
              <w:pStyle w:val="16"/>
              <w:keepNext/>
              <w:spacing w:after="0" w:line="440" w:lineRule="exact"/>
              <w:ind w:left="63" w:right="63"/>
              <w:rPr>
                <w:color w:val="000000"/>
                <w:kern w:val="2"/>
                <w:sz w:val="21"/>
                <w:szCs w:val="21"/>
                <w:lang w:val="en-US" w:eastAsia="zh-CN"/>
              </w:rPr>
            </w:pPr>
          </w:p>
        </w:tc>
        <w:tc>
          <w:tcPr>
            <w:tcW w:w="1984" w:type="dxa"/>
            <w:noWrap w:val="0"/>
            <w:vAlign w:val="top"/>
          </w:tcPr>
          <w:p w14:paraId="137E6F47">
            <w:pPr>
              <w:pStyle w:val="16"/>
              <w:keepNext/>
              <w:spacing w:after="0" w:line="440" w:lineRule="exact"/>
              <w:ind w:left="63" w:right="63"/>
              <w:rPr>
                <w:color w:val="000000"/>
                <w:kern w:val="2"/>
                <w:sz w:val="21"/>
                <w:szCs w:val="21"/>
                <w:lang w:val="en-US" w:eastAsia="zh-CN"/>
              </w:rPr>
            </w:pPr>
          </w:p>
        </w:tc>
        <w:tc>
          <w:tcPr>
            <w:tcW w:w="4678" w:type="dxa"/>
            <w:noWrap w:val="0"/>
            <w:vAlign w:val="top"/>
          </w:tcPr>
          <w:p w14:paraId="2C13024D">
            <w:pPr>
              <w:pStyle w:val="16"/>
              <w:keepNext/>
              <w:spacing w:after="0" w:line="440" w:lineRule="exact"/>
              <w:ind w:left="63" w:right="63"/>
              <w:rPr>
                <w:color w:val="000000"/>
                <w:kern w:val="2"/>
                <w:sz w:val="21"/>
                <w:szCs w:val="21"/>
                <w:lang w:val="en-US" w:eastAsia="zh-CN"/>
              </w:rPr>
            </w:pPr>
          </w:p>
        </w:tc>
        <w:tc>
          <w:tcPr>
            <w:tcW w:w="1276" w:type="dxa"/>
            <w:noWrap w:val="0"/>
            <w:vAlign w:val="top"/>
          </w:tcPr>
          <w:p w14:paraId="3F0CA301">
            <w:pPr>
              <w:pStyle w:val="16"/>
              <w:keepNext/>
              <w:spacing w:after="0" w:line="440" w:lineRule="exact"/>
              <w:ind w:left="63" w:right="63"/>
              <w:rPr>
                <w:color w:val="000000"/>
                <w:kern w:val="2"/>
                <w:sz w:val="21"/>
                <w:szCs w:val="21"/>
                <w:lang w:val="en-US" w:eastAsia="zh-CN"/>
              </w:rPr>
            </w:pPr>
          </w:p>
        </w:tc>
      </w:tr>
      <w:tr w14:paraId="502552F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188471DD">
            <w:pPr>
              <w:pStyle w:val="16"/>
              <w:keepNext/>
              <w:spacing w:after="0" w:line="440" w:lineRule="exact"/>
              <w:ind w:left="63" w:right="63"/>
              <w:rPr>
                <w:color w:val="000000"/>
                <w:kern w:val="2"/>
                <w:sz w:val="21"/>
                <w:szCs w:val="21"/>
                <w:lang w:val="en-US" w:eastAsia="zh-CN"/>
              </w:rPr>
            </w:pPr>
          </w:p>
        </w:tc>
        <w:tc>
          <w:tcPr>
            <w:tcW w:w="1984" w:type="dxa"/>
            <w:noWrap w:val="0"/>
            <w:vAlign w:val="top"/>
          </w:tcPr>
          <w:p w14:paraId="44E4C206">
            <w:pPr>
              <w:pStyle w:val="16"/>
              <w:keepNext/>
              <w:spacing w:after="0" w:line="440" w:lineRule="exact"/>
              <w:ind w:left="63" w:right="63"/>
              <w:rPr>
                <w:color w:val="000000"/>
                <w:kern w:val="2"/>
                <w:sz w:val="21"/>
                <w:szCs w:val="21"/>
                <w:lang w:val="en-US" w:eastAsia="zh-CN"/>
              </w:rPr>
            </w:pPr>
          </w:p>
        </w:tc>
        <w:tc>
          <w:tcPr>
            <w:tcW w:w="4678" w:type="dxa"/>
            <w:noWrap w:val="0"/>
            <w:vAlign w:val="top"/>
          </w:tcPr>
          <w:p w14:paraId="36339C0A">
            <w:pPr>
              <w:pStyle w:val="16"/>
              <w:keepNext/>
              <w:spacing w:after="0" w:line="440" w:lineRule="exact"/>
              <w:ind w:left="63" w:right="63"/>
              <w:rPr>
                <w:color w:val="000000"/>
                <w:kern w:val="2"/>
                <w:sz w:val="21"/>
                <w:szCs w:val="21"/>
                <w:lang w:val="en-US" w:eastAsia="zh-CN"/>
              </w:rPr>
            </w:pPr>
          </w:p>
        </w:tc>
        <w:tc>
          <w:tcPr>
            <w:tcW w:w="1276" w:type="dxa"/>
            <w:noWrap w:val="0"/>
            <w:vAlign w:val="top"/>
          </w:tcPr>
          <w:p w14:paraId="2142962A">
            <w:pPr>
              <w:pStyle w:val="16"/>
              <w:keepNext/>
              <w:spacing w:after="0" w:line="440" w:lineRule="exact"/>
              <w:ind w:left="63" w:right="63"/>
              <w:rPr>
                <w:color w:val="000000"/>
                <w:kern w:val="2"/>
                <w:sz w:val="21"/>
                <w:szCs w:val="21"/>
                <w:lang w:val="en-US" w:eastAsia="zh-CN"/>
              </w:rPr>
            </w:pPr>
          </w:p>
        </w:tc>
      </w:tr>
      <w:tr w14:paraId="07CA2BB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012CB297">
            <w:pPr>
              <w:pStyle w:val="16"/>
              <w:keepNext/>
              <w:spacing w:after="0" w:line="440" w:lineRule="exact"/>
              <w:ind w:left="63" w:right="63"/>
              <w:rPr>
                <w:color w:val="000000"/>
                <w:kern w:val="2"/>
                <w:sz w:val="21"/>
                <w:szCs w:val="21"/>
                <w:lang w:val="en-US" w:eastAsia="zh-CN"/>
              </w:rPr>
            </w:pPr>
          </w:p>
        </w:tc>
        <w:tc>
          <w:tcPr>
            <w:tcW w:w="1984" w:type="dxa"/>
            <w:noWrap w:val="0"/>
            <w:vAlign w:val="top"/>
          </w:tcPr>
          <w:p w14:paraId="605BB173">
            <w:pPr>
              <w:pStyle w:val="16"/>
              <w:keepNext/>
              <w:spacing w:after="0" w:line="440" w:lineRule="exact"/>
              <w:ind w:left="63" w:right="63"/>
              <w:rPr>
                <w:color w:val="000000"/>
                <w:kern w:val="2"/>
                <w:sz w:val="21"/>
                <w:szCs w:val="21"/>
                <w:lang w:val="en-US" w:eastAsia="zh-CN"/>
              </w:rPr>
            </w:pPr>
          </w:p>
        </w:tc>
        <w:tc>
          <w:tcPr>
            <w:tcW w:w="4678" w:type="dxa"/>
            <w:noWrap w:val="0"/>
            <w:vAlign w:val="top"/>
          </w:tcPr>
          <w:p w14:paraId="7FD0A300">
            <w:pPr>
              <w:pStyle w:val="16"/>
              <w:keepNext/>
              <w:spacing w:after="0" w:line="440" w:lineRule="exact"/>
              <w:ind w:left="63" w:right="63"/>
              <w:rPr>
                <w:color w:val="000000"/>
                <w:kern w:val="2"/>
                <w:sz w:val="21"/>
                <w:szCs w:val="21"/>
                <w:lang w:val="en-US" w:eastAsia="zh-CN"/>
              </w:rPr>
            </w:pPr>
          </w:p>
        </w:tc>
        <w:tc>
          <w:tcPr>
            <w:tcW w:w="1276" w:type="dxa"/>
            <w:noWrap w:val="0"/>
            <w:vAlign w:val="top"/>
          </w:tcPr>
          <w:p w14:paraId="224431CD">
            <w:pPr>
              <w:pStyle w:val="16"/>
              <w:keepNext/>
              <w:spacing w:after="0" w:line="440" w:lineRule="exact"/>
              <w:ind w:left="63" w:right="63"/>
              <w:rPr>
                <w:color w:val="000000"/>
                <w:kern w:val="2"/>
                <w:sz w:val="21"/>
                <w:szCs w:val="21"/>
                <w:lang w:val="en-US" w:eastAsia="zh-CN"/>
              </w:rPr>
            </w:pPr>
          </w:p>
        </w:tc>
      </w:tr>
      <w:tr w14:paraId="370303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7D7696FD">
            <w:pPr>
              <w:pStyle w:val="16"/>
              <w:keepNext/>
              <w:spacing w:after="0" w:line="440" w:lineRule="exact"/>
              <w:ind w:left="63" w:right="63"/>
              <w:rPr>
                <w:color w:val="000000"/>
                <w:kern w:val="2"/>
                <w:sz w:val="21"/>
                <w:szCs w:val="21"/>
                <w:lang w:val="en-US" w:eastAsia="zh-CN"/>
              </w:rPr>
            </w:pPr>
          </w:p>
        </w:tc>
        <w:tc>
          <w:tcPr>
            <w:tcW w:w="1984" w:type="dxa"/>
            <w:noWrap w:val="0"/>
            <w:vAlign w:val="top"/>
          </w:tcPr>
          <w:p w14:paraId="3DBA1A72">
            <w:pPr>
              <w:pStyle w:val="16"/>
              <w:keepNext/>
              <w:spacing w:after="0" w:line="440" w:lineRule="exact"/>
              <w:ind w:left="63" w:right="63"/>
              <w:rPr>
                <w:color w:val="000000"/>
                <w:kern w:val="2"/>
                <w:sz w:val="21"/>
                <w:szCs w:val="21"/>
                <w:lang w:val="en-US" w:eastAsia="zh-CN"/>
              </w:rPr>
            </w:pPr>
          </w:p>
        </w:tc>
        <w:tc>
          <w:tcPr>
            <w:tcW w:w="4678" w:type="dxa"/>
            <w:noWrap w:val="0"/>
            <w:vAlign w:val="top"/>
          </w:tcPr>
          <w:p w14:paraId="776D4DC6">
            <w:pPr>
              <w:pStyle w:val="16"/>
              <w:keepNext/>
              <w:spacing w:after="0" w:line="440" w:lineRule="exact"/>
              <w:ind w:left="63" w:right="63"/>
              <w:rPr>
                <w:color w:val="000000"/>
                <w:kern w:val="2"/>
                <w:sz w:val="21"/>
                <w:szCs w:val="21"/>
                <w:lang w:val="en-US" w:eastAsia="zh-CN"/>
              </w:rPr>
            </w:pPr>
          </w:p>
        </w:tc>
        <w:tc>
          <w:tcPr>
            <w:tcW w:w="1276" w:type="dxa"/>
            <w:noWrap w:val="0"/>
            <w:vAlign w:val="top"/>
          </w:tcPr>
          <w:p w14:paraId="775F2017">
            <w:pPr>
              <w:pStyle w:val="16"/>
              <w:keepNext/>
              <w:spacing w:after="0" w:line="440" w:lineRule="exact"/>
              <w:ind w:left="63" w:right="63"/>
              <w:rPr>
                <w:color w:val="000000"/>
                <w:kern w:val="2"/>
                <w:sz w:val="21"/>
                <w:szCs w:val="21"/>
                <w:lang w:val="en-US" w:eastAsia="zh-CN"/>
              </w:rPr>
            </w:pPr>
          </w:p>
        </w:tc>
      </w:tr>
      <w:tr w14:paraId="3DA9E3B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7EEE8711">
            <w:pPr>
              <w:pStyle w:val="16"/>
              <w:keepNext/>
              <w:spacing w:after="0" w:line="440" w:lineRule="exact"/>
              <w:ind w:left="63" w:right="63"/>
              <w:rPr>
                <w:color w:val="000000"/>
                <w:kern w:val="2"/>
                <w:sz w:val="21"/>
                <w:szCs w:val="21"/>
                <w:lang w:val="en-US" w:eastAsia="zh-CN"/>
              </w:rPr>
            </w:pPr>
          </w:p>
        </w:tc>
        <w:tc>
          <w:tcPr>
            <w:tcW w:w="1984" w:type="dxa"/>
            <w:noWrap w:val="0"/>
            <w:vAlign w:val="top"/>
          </w:tcPr>
          <w:p w14:paraId="481748EA">
            <w:pPr>
              <w:pStyle w:val="16"/>
              <w:keepNext/>
              <w:spacing w:after="0" w:line="440" w:lineRule="exact"/>
              <w:ind w:left="63" w:right="63"/>
              <w:rPr>
                <w:color w:val="000000"/>
                <w:kern w:val="2"/>
                <w:sz w:val="21"/>
                <w:szCs w:val="21"/>
                <w:lang w:val="en-US" w:eastAsia="zh-CN"/>
              </w:rPr>
            </w:pPr>
          </w:p>
        </w:tc>
        <w:tc>
          <w:tcPr>
            <w:tcW w:w="4678" w:type="dxa"/>
            <w:noWrap w:val="0"/>
            <w:vAlign w:val="top"/>
          </w:tcPr>
          <w:p w14:paraId="0E66BF6A">
            <w:pPr>
              <w:pStyle w:val="16"/>
              <w:keepNext/>
              <w:spacing w:after="0" w:line="440" w:lineRule="exact"/>
              <w:ind w:left="63" w:right="63"/>
              <w:rPr>
                <w:color w:val="000000"/>
                <w:kern w:val="2"/>
                <w:sz w:val="21"/>
                <w:szCs w:val="21"/>
                <w:lang w:val="en-US" w:eastAsia="zh-CN"/>
              </w:rPr>
            </w:pPr>
          </w:p>
        </w:tc>
        <w:tc>
          <w:tcPr>
            <w:tcW w:w="1276" w:type="dxa"/>
            <w:noWrap w:val="0"/>
            <w:vAlign w:val="top"/>
          </w:tcPr>
          <w:p w14:paraId="51AEE3D7">
            <w:pPr>
              <w:pStyle w:val="16"/>
              <w:keepNext/>
              <w:spacing w:after="0" w:line="440" w:lineRule="exact"/>
              <w:ind w:left="63" w:right="63"/>
              <w:rPr>
                <w:color w:val="000000"/>
                <w:kern w:val="2"/>
                <w:sz w:val="21"/>
                <w:szCs w:val="21"/>
                <w:lang w:val="en-US" w:eastAsia="zh-CN"/>
              </w:rPr>
            </w:pPr>
          </w:p>
        </w:tc>
      </w:tr>
      <w:tr w14:paraId="379A379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655329AC">
            <w:pPr>
              <w:pStyle w:val="16"/>
              <w:keepNext/>
              <w:spacing w:after="0" w:line="440" w:lineRule="exact"/>
              <w:ind w:left="63" w:right="63"/>
              <w:rPr>
                <w:color w:val="000000"/>
                <w:kern w:val="2"/>
                <w:sz w:val="21"/>
                <w:szCs w:val="21"/>
                <w:lang w:val="en-US" w:eastAsia="zh-CN"/>
              </w:rPr>
            </w:pPr>
          </w:p>
        </w:tc>
        <w:tc>
          <w:tcPr>
            <w:tcW w:w="1984" w:type="dxa"/>
            <w:noWrap w:val="0"/>
            <w:vAlign w:val="top"/>
          </w:tcPr>
          <w:p w14:paraId="1FCFD564">
            <w:pPr>
              <w:pStyle w:val="16"/>
              <w:keepNext/>
              <w:spacing w:after="0" w:line="440" w:lineRule="exact"/>
              <w:ind w:left="63" w:right="63"/>
              <w:rPr>
                <w:color w:val="000000"/>
                <w:kern w:val="2"/>
                <w:sz w:val="21"/>
                <w:szCs w:val="21"/>
                <w:lang w:val="en-US" w:eastAsia="zh-CN"/>
              </w:rPr>
            </w:pPr>
          </w:p>
        </w:tc>
        <w:tc>
          <w:tcPr>
            <w:tcW w:w="4678" w:type="dxa"/>
            <w:noWrap w:val="0"/>
            <w:vAlign w:val="top"/>
          </w:tcPr>
          <w:p w14:paraId="1E0F5DF8">
            <w:pPr>
              <w:pStyle w:val="16"/>
              <w:keepNext/>
              <w:spacing w:after="0" w:line="440" w:lineRule="exact"/>
              <w:ind w:left="63" w:right="63"/>
              <w:rPr>
                <w:color w:val="000000"/>
                <w:kern w:val="2"/>
                <w:sz w:val="21"/>
                <w:szCs w:val="21"/>
                <w:lang w:val="en-US" w:eastAsia="zh-CN"/>
              </w:rPr>
            </w:pPr>
          </w:p>
        </w:tc>
        <w:tc>
          <w:tcPr>
            <w:tcW w:w="1276" w:type="dxa"/>
            <w:noWrap w:val="0"/>
            <w:vAlign w:val="top"/>
          </w:tcPr>
          <w:p w14:paraId="5FED93F7">
            <w:pPr>
              <w:pStyle w:val="16"/>
              <w:keepNext/>
              <w:spacing w:after="0" w:line="440" w:lineRule="exact"/>
              <w:ind w:left="63" w:right="63"/>
              <w:rPr>
                <w:color w:val="000000"/>
                <w:kern w:val="2"/>
                <w:sz w:val="21"/>
                <w:szCs w:val="21"/>
                <w:lang w:val="en-US" w:eastAsia="zh-CN"/>
              </w:rPr>
            </w:pPr>
          </w:p>
        </w:tc>
      </w:tr>
      <w:tr w14:paraId="754000D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1F1149A1">
            <w:pPr>
              <w:pStyle w:val="16"/>
              <w:keepNext/>
              <w:spacing w:after="0" w:line="440" w:lineRule="exact"/>
              <w:ind w:left="63" w:right="63"/>
              <w:rPr>
                <w:color w:val="000000"/>
                <w:kern w:val="2"/>
                <w:sz w:val="21"/>
                <w:szCs w:val="21"/>
                <w:lang w:val="en-US" w:eastAsia="zh-CN"/>
              </w:rPr>
            </w:pPr>
          </w:p>
        </w:tc>
        <w:tc>
          <w:tcPr>
            <w:tcW w:w="1984" w:type="dxa"/>
            <w:noWrap w:val="0"/>
            <w:vAlign w:val="top"/>
          </w:tcPr>
          <w:p w14:paraId="6590224A">
            <w:pPr>
              <w:pStyle w:val="16"/>
              <w:keepNext/>
              <w:spacing w:after="0" w:line="440" w:lineRule="exact"/>
              <w:ind w:left="63" w:right="63"/>
              <w:rPr>
                <w:color w:val="000000"/>
                <w:kern w:val="2"/>
                <w:sz w:val="21"/>
                <w:szCs w:val="21"/>
                <w:lang w:val="en-US" w:eastAsia="zh-CN"/>
              </w:rPr>
            </w:pPr>
          </w:p>
        </w:tc>
        <w:tc>
          <w:tcPr>
            <w:tcW w:w="4678" w:type="dxa"/>
            <w:noWrap w:val="0"/>
            <w:vAlign w:val="top"/>
          </w:tcPr>
          <w:p w14:paraId="1BA4F4F2">
            <w:pPr>
              <w:pStyle w:val="16"/>
              <w:keepNext/>
              <w:spacing w:after="0" w:line="440" w:lineRule="exact"/>
              <w:ind w:left="63" w:right="63"/>
              <w:rPr>
                <w:color w:val="000000"/>
                <w:kern w:val="2"/>
                <w:sz w:val="21"/>
                <w:szCs w:val="21"/>
                <w:lang w:val="en-US" w:eastAsia="zh-CN"/>
              </w:rPr>
            </w:pPr>
          </w:p>
        </w:tc>
        <w:tc>
          <w:tcPr>
            <w:tcW w:w="1276" w:type="dxa"/>
            <w:noWrap w:val="0"/>
            <w:vAlign w:val="top"/>
          </w:tcPr>
          <w:p w14:paraId="2BF21128">
            <w:pPr>
              <w:pStyle w:val="16"/>
              <w:keepNext/>
              <w:spacing w:after="0" w:line="440" w:lineRule="exact"/>
              <w:ind w:left="63" w:right="63"/>
              <w:rPr>
                <w:color w:val="000000"/>
                <w:kern w:val="2"/>
                <w:sz w:val="21"/>
                <w:szCs w:val="21"/>
                <w:lang w:val="en-US" w:eastAsia="zh-CN"/>
              </w:rPr>
            </w:pPr>
          </w:p>
        </w:tc>
      </w:tr>
      <w:tr w14:paraId="06B8DDD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534E23AA">
            <w:pPr>
              <w:pStyle w:val="16"/>
              <w:keepNext/>
              <w:spacing w:after="0" w:line="440" w:lineRule="exact"/>
              <w:ind w:left="63" w:right="63"/>
              <w:rPr>
                <w:color w:val="000000"/>
                <w:kern w:val="2"/>
                <w:sz w:val="21"/>
                <w:szCs w:val="21"/>
                <w:lang w:val="en-US" w:eastAsia="zh-CN"/>
              </w:rPr>
            </w:pPr>
          </w:p>
        </w:tc>
        <w:tc>
          <w:tcPr>
            <w:tcW w:w="1984" w:type="dxa"/>
            <w:noWrap w:val="0"/>
            <w:vAlign w:val="top"/>
          </w:tcPr>
          <w:p w14:paraId="2EF7E1DA">
            <w:pPr>
              <w:pStyle w:val="16"/>
              <w:keepNext/>
              <w:spacing w:after="0" w:line="440" w:lineRule="exact"/>
              <w:ind w:left="63" w:right="63"/>
              <w:rPr>
                <w:color w:val="000000"/>
                <w:kern w:val="2"/>
                <w:sz w:val="21"/>
                <w:szCs w:val="21"/>
                <w:lang w:val="en-US" w:eastAsia="zh-CN"/>
              </w:rPr>
            </w:pPr>
          </w:p>
        </w:tc>
        <w:tc>
          <w:tcPr>
            <w:tcW w:w="4678" w:type="dxa"/>
            <w:noWrap w:val="0"/>
            <w:vAlign w:val="top"/>
          </w:tcPr>
          <w:p w14:paraId="49DBCCA1">
            <w:pPr>
              <w:pStyle w:val="16"/>
              <w:keepNext/>
              <w:spacing w:after="0" w:line="440" w:lineRule="exact"/>
              <w:ind w:left="63" w:right="63"/>
              <w:rPr>
                <w:color w:val="000000"/>
                <w:kern w:val="2"/>
                <w:sz w:val="21"/>
                <w:szCs w:val="21"/>
                <w:lang w:val="en-US" w:eastAsia="zh-CN"/>
              </w:rPr>
            </w:pPr>
          </w:p>
        </w:tc>
        <w:tc>
          <w:tcPr>
            <w:tcW w:w="1276" w:type="dxa"/>
            <w:noWrap w:val="0"/>
            <w:vAlign w:val="top"/>
          </w:tcPr>
          <w:p w14:paraId="0635639C">
            <w:pPr>
              <w:pStyle w:val="16"/>
              <w:keepNext/>
              <w:spacing w:after="0" w:line="440" w:lineRule="exact"/>
              <w:ind w:left="63" w:right="63"/>
              <w:rPr>
                <w:color w:val="000000"/>
                <w:kern w:val="2"/>
                <w:sz w:val="21"/>
                <w:szCs w:val="21"/>
                <w:lang w:val="en-US" w:eastAsia="zh-CN"/>
              </w:rPr>
            </w:pPr>
          </w:p>
        </w:tc>
      </w:tr>
      <w:tr w14:paraId="0B4A0A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2791CA47">
            <w:pPr>
              <w:pStyle w:val="16"/>
              <w:keepNext/>
              <w:spacing w:after="0" w:line="440" w:lineRule="exact"/>
              <w:ind w:left="63" w:right="63"/>
              <w:rPr>
                <w:color w:val="000000"/>
                <w:kern w:val="2"/>
                <w:sz w:val="21"/>
                <w:szCs w:val="21"/>
                <w:lang w:val="en-US" w:eastAsia="zh-CN"/>
              </w:rPr>
            </w:pPr>
          </w:p>
        </w:tc>
        <w:tc>
          <w:tcPr>
            <w:tcW w:w="1984" w:type="dxa"/>
            <w:noWrap w:val="0"/>
            <w:vAlign w:val="top"/>
          </w:tcPr>
          <w:p w14:paraId="1ECE9B42">
            <w:pPr>
              <w:pStyle w:val="16"/>
              <w:keepNext/>
              <w:spacing w:after="0" w:line="440" w:lineRule="exact"/>
              <w:ind w:left="63" w:right="63"/>
              <w:rPr>
                <w:color w:val="000000"/>
                <w:kern w:val="2"/>
                <w:sz w:val="21"/>
                <w:szCs w:val="21"/>
                <w:lang w:val="en-US" w:eastAsia="zh-CN"/>
              </w:rPr>
            </w:pPr>
          </w:p>
        </w:tc>
        <w:tc>
          <w:tcPr>
            <w:tcW w:w="4678" w:type="dxa"/>
            <w:noWrap w:val="0"/>
            <w:vAlign w:val="top"/>
          </w:tcPr>
          <w:p w14:paraId="585E7D46">
            <w:pPr>
              <w:pStyle w:val="16"/>
              <w:keepNext/>
              <w:spacing w:after="0" w:line="440" w:lineRule="exact"/>
              <w:ind w:left="63" w:right="63"/>
              <w:rPr>
                <w:color w:val="000000"/>
                <w:kern w:val="2"/>
                <w:sz w:val="21"/>
                <w:szCs w:val="21"/>
                <w:lang w:val="en-US" w:eastAsia="zh-CN"/>
              </w:rPr>
            </w:pPr>
          </w:p>
        </w:tc>
        <w:tc>
          <w:tcPr>
            <w:tcW w:w="1276" w:type="dxa"/>
            <w:noWrap w:val="0"/>
            <w:vAlign w:val="top"/>
          </w:tcPr>
          <w:p w14:paraId="051ACBD3">
            <w:pPr>
              <w:pStyle w:val="16"/>
              <w:keepNext/>
              <w:spacing w:after="0" w:line="440" w:lineRule="exact"/>
              <w:ind w:left="63" w:right="63"/>
              <w:rPr>
                <w:color w:val="000000"/>
                <w:kern w:val="2"/>
                <w:sz w:val="21"/>
                <w:szCs w:val="21"/>
                <w:lang w:val="en-US" w:eastAsia="zh-CN"/>
              </w:rPr>
            </w:pPr>
          </w:p>
        </w:tc>
      </w:tr>
      <w:tr w14:paraId="7A0BF32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4AAA6CB4">
            <w:pPr>
              <w:pStyle w:val="16"/>
              <w:keepNext/>
              <w:spacing w:after="0" w:line="440" w:lineRule="exact"/>
              <w:ind w:left="63" w:right="63"/>
              <w:rPr>
                <w:color w:val="000000"/>
                <w:kern w:val="2"/>
                <w:sz w:val="21"/>
                <w:szCs w:val="21"/>
                <w:lang w:val="en-US" w:eastAsia="zh-CN"/>
              </w:rPr>
            </w:pPr>
          </w:p>
        </w:tc>
        <w:tc>
          <w:tcPr>
            <w:tcW w:w="1984" w:type="dxa"/>
            <w:noWrap w:val="0"/>
            <w:vAlign w:val="top"/>
          </w:tcPr>
          <w:p w14:paraId="128D259A">
            <w:pPr>
              <w:pStyle w:val="16"/>
              <w:keepNext/>
              <w:spacing w:after="0" w:line="440" w:lineRule="exact"/>
              <w:ind w:left="63" w:right="63"/>
              <w:rPr>
                <w:color w:val="000000"/>
                <w:kern w:val="2"/>
                <w:sz w:val="21"/>
                <w:szCs w:val="21"/>
                <w:lang w:val="en-US" w:eastAsia="zh-CN"/>
              </w:rPr>
            </w:pPr>
          </w:p>
        </w:tc>
        <w:tc>
          <w:tcPr>
            <w:tcW w:w="4678" w:type="dxa"/>
            <w:noWrap w:val="0"/>
            <w:vAlign w:val="top"/>
          </w:tcPr>
          <w:p w14:paraId="0F9B7AC9">
            <w:pPr>
              <w:pStyle w:val="16"/>
              <w:keepNext/>
              <w:spacing w:after="0" w:line="440" w:lineRule="exact"/>
              <w:ind w:left="63" w:right="63"/>
              <w:rPr>
                <w:color w:val="000000"/>
                <w:kern w:val="2"/>
                <w:sz w:val="21"/>
                <w:szCs w:val="21"/>
                <w:lang w:val="en-US" w:eastAsia="zh-CN"/>
              </w:rPr>
            </w:pPr>
          </w:p>
        </w:tc>
        <w:tc>
          <w:tcPr>
            <w:tcW w:w="1276" w:type="dxa"/>
            <w:noWrap w:val="0"/>
            <w:vAlign w:val="top"/>
          </w:tcPr>
          <w:p w14:paraId="57C5BAA3">
            <w:pPr>
              <w:pStyle w:val="16"/>
              <w:keepNext/>
              <w:spacing w:after="0" w:line="440" w:lineRule="exact"/>
              <w:ind w:left="63" w:right="63"/>
              <w:rPr>
                <w:color w:val="000000"/>
                <w:kern w:val="2"/>
                <w:sz w:val="21"/>
                <w:szCs w:val="21"/>
                <w:lang w:val="en-US" w:eastAsia="zh-CN"/>
              </w:rPr>
            </w:pPr>
          </w:p>
        </w:tc>
      </w:tr>
      <w:tr w14:paraId="097604A4">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79" w:type="dxa"/>
            <w:noWrap w:val="0"/>
            <w:vAlign w:val="top"/>
          </w:tcPr>
          <w:p w14:paraId="5B5E525F">
            <w:pPr>
              <w:pStyle w:val="16"/>
              <w:keepNext/>
              <w:spacing w:after="0" w:line="440" w:lineRule="exact"/>
              <w:ind w:left="63" w:right="63"/>
              <w:rPr>
                <w:color w:val="000000"/>
                <w:kern w:val="2"/>
                <w:sz w:val="21"/>
                <w:szCs w:val="21"/>
                <w:lang w:val="en-US" w:eastAsia="zh-CN"/>
              </w:rPr>
            </w:pPr>
          </w:p>
        </w:tc>
        <w:tc>
          <w:tcPr>
            <w:tcW w:w="1984" w:type="dxa"/>
            <w:noWrap w:val="0"/>
            <w:vAlign w:val="top"/>
          </w:tcPr>
          <w:p w14:paraId="474127E9">
            <w:pPr>
              <w:pStyle w:val="16"/>
              <w:keepNext/>
              <w:spacing w:after="0" w:line="440" w:lineRule="exact"/>
              <w:ind w:left="63" w:right="63"/>
              <w:rPr>
                <w:color w:val="000000"/>
                <w:kern w:val="2"/>
                <w:sz w:val="21"/>
                <w:szCs w:val="21"/>
                <w:lang w:val="en-US" w:eastAsia="zh-CN"/>
              </w:rPr>
            </w:pPr>
          </w:p>
        </w:tc>
        <w:tc>
          <w:tcPr>
            <w:tcW w:w="4678" w:type="dxa"/>
            <w:noWrap w:val="0"/>
            <w:vAlign w:val="top"/>
          </w:tcPr>
          <w:p w14:paraId="44BF5C49">
            <w:pPr>
              <w:pStyle w:val="16"/>
              <w:keepNext/>
              <w:spacing w:after="0" w:line="440" w:lineRule="exact"/>
              <w:ind w:left="63" w:right="63"/>
              <w:rPr>
                <w:color w:val="000000"/>
                <w:kern w:val="2"/>
                <w:sz w:val="21"/>
                <w:szCs w:val="21"/>
                <w:lang w:val="en-US" w:eastAsia="zh-CN"/>
              </w:rPr>
            </w:pPr>
          </w:p>
        </w:tc>
        <w:tc>
          <w:tcPr>
            <w:tcW w:w="1276" w:type="dxa"/>
            <w:noWrap w:val="0"/>
            <w:vAlign w:val="top"/>
          </w:tcPr>
          <w:p w14:paraId="028C0A0C">
            <w:pPr>
              <w:pStyle w:val="16"/>
              <w:keepNext/>
              <w:spacing w:after="0" w:line="440" w:lineRule="exact"/>
              <w:ind w:left="63" w:right="63"/>
              <w:rPr>
                <w:color w:val="000000"/>
                <w:kern w:val="2"/>
                <w:sz w:val="21"/>
                <w:szCs w:val="21"/>
                <w:lang w:val="en-US" w:eastAsia="zh-CN"/>
              </w:rPr>
            </w:pPr>
          </w:p>
        </w:tc>
      </w:tr>
      <w:tr w14:paraId="6BA08EB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28" w:type="dxa"/>
            <w:bottom w:w="0" w:type="dxa"/>
            <w:right w:w="28" w:type="dxa"/>
          </w:tblCellMar>
        </w:tblPrEx>
        <w:trPr>
          <w:wBefore w:w="0" w:type="dxa"/>
          <w:wAfter w:w="0" w:type="dxa"/>
        </w:trPr>
        <w:tc>
          <w:tcPr>
            <w:tcW w:w="8817" w:type="dxa"/>
            <w:gridSpan w:val="4"/>
            <w:noWrap w:val="0"/>
            <w:vAlign w:val="top"/>
          </w:tcPr>
          <w:p w14:paraId="3048039E">
            <w:pPr>
              <w:pStyle w:val="16"/>
              <w:keepNext/>
              <w:spacing w:after="0" w:line="440" w:lineRule="exact"/>
              <w:ind w:left="63" w:right="63"/>
              <w:rPr>
                <w:color w:val="000000"/>
                <w:kern w:val="2"/>
                <w:sz w:val="21"/>
                <w:szCs w:val="21"/>
                <w:lang w:val="en-US" w:eastAsia="zh-CN"/>
              </w:rPr>
            </w:pPr>
            <w:r>
              <w:rPr>
                <w:rFonts w:eastAsia="仿宋_GB2312"/>
                <w:color w:val="000000"/>
                <w:kern w:val="2"/>
                <w:sz w:val="28"/>
                <w:szCs w:val="30"/>
                <w:lang w:val="en-US" w:eastAsia="zh-CN"/>
              </w:rPr>
              <w:t>小计：</w:t>
            </w:r>
          </w:p>
        </w:tc>
      </w:tr>
    </w:tbl>
    <w:p w14:paraId="3450ED15">
      <w:pPr>
        <w:rPr>
          <w:rFonts w:ascii="Times New Roman" w:hAnsi="Times New Roman"/>
        </w:rPr>
      </w:pPr>
    </w:p>
    <w:sectPr>
      <w:pgSz w:w="11906" w:h="16838"/>
      <w:pgMar w:top="1418" w:right="1555" w:bottom="1418" w:left="1531"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楷体_GB2312">
    <w:altName w:val="楷体"/>
    <w:panose1 w:val="00000000000000000000"/>
    <w:charset w:val="86"/>
    <w:family w:val="modern"/>
    <w:pitch w:val="default"/>
    <w:sig w:usb0="00000001" w:usb1="080E0000" w:usb2="00000010" w:usb3="00000000" w:csb0="00040000" w:csb1="00000000"/>
  </w:font>
  <w:font w:name="TimesNewRomanPSMT">
    <w:altName w:val="Times New Roman"/>
    <w:panose1 w:val="00000000000000000000"/>
    <w:charset w:val="00"/>
    <w:family w:val="roman"/>
    <w:pitch w:val="default"/>
    <w:sig w:usb0="00000003" w:usb1="00000000" w:usb2="00000000" w:usb3="00000000" w:csb0="00000001" w:csb1="00000000"/>
  </w:font>
  <w:font w:name="仿宋_GB2312">
    <w:altName w:val="仿宋"/>
    <w:panose1 w:val="02010609030101010101"/>
    <w:charset w:val="86"/>
    <w:family w:val="modern"/>
    <w:pitch w:val="default"/>
    <w:sig w:usb0="00000001" w:usb1="080E0000" w:usb2="00000000" w:usb3="00000000" w:csb0="00040000" w:csb1="00000000"/>
  </w:font>
  <w:font w:name="华文中宋">
    <w:altName w:val="宋体"/>
    <w:panose1 w:val="02010600040101010101"/>
    <w:charset w:val="86"/>
    <w:family w:val="auto"/>
    <w:pitch w:val="default"/>
    <w:sig w:usb0="00000287" w:usb1="080F0000" w:usb2="00000010" w:usb3="00000000" w:csb0="0004009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67F52">
    <w:pPr>
      <w:pStyle w:val="23"/>
      <w:jc w:val="center"/>
      <w:rPr>
        <w:rFonts w:ascii="Times New Roman" w:hAnsi="Times New Roman" w:eastAsia="仿宋_GB2312"/>
        <w:sz w:val="24"/>
      </w:rPr>
    </w:pPr>
    <w:r>
      <w:rPr>
        <w:rFonts w:ascii="Times New Roman" w:hAnsi="Times New Roman" w:eastAsia="仿宋_GB2312"/>
        <w:sz w:val="24"/>
      </w:rPr>
      <w:fldChar w:fldCharType="begin"/>
    </w:r>
    <w:r>
      <w:rPr>
        <w:rFonts w:ascii="Times New Roman" w:hAnsi="Times New Roman" w:eastAsia="仿宋_GB2312"/>
        <w:sz w:val="24"/>
      </w:rPr>
      <w:instrText xml:space="preserve"> PAGE  \* MERGEFORMAT </w:instrText>
    </w:r>
    <w:r>
      <w:rPr>
        <w:rFonts w:ascii="Times New Roman" w:hAnsi="Times New Roman" w:eastAsia="仿宋_GB2312"/>
        <w:sz w:val="24"/>
      </w:rPr>
      <w:fldChar w:fldCharType="separate"/>
    </w:r>
    <w:r>
      <w:rPr>
        <w:lang/>
      </w:rPr>
      <w:t>9</w:t>
    </w:r>
    <w:r>
      <w:rPr>
        <w:rFonts w:ascii="Times New Roman" w:hAnsi="Times New Roman" w:eastAsia="仿宋_GB2312"/>
        <w:sz w:val="24"/>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00D75D">
    <w:pPr>
      <w:jc w:val="center"/>
      <w:rPr>
        <w:rFonts w:hint="eastAsia"/>
      </w:rPr>
    </w:pPr>
    <w:r>
      <w:rPr>
        <w:rFonts w:hint="eastAsia"/>
      </w:rPr>
      <w:fldChar w:fldCharType="begin"/>
    </w:r>
    <w:r>
      <w:rPr>
        <w:rFonts w:hint="eastAsia"/>
      </w:rPr>
      <w:instrText xml:space="preserve"> PAGE  \* MERGEFORMAT </w:instrText>
    </w:r>
    <w:r>
      <w:rPr>
        <w:rFonts w:hint="eastAsia"/>
      </w:rPr>
      <w:fldChar w:fldCharType="separate"/>
    </w:r>
    <w:r>
      <w:rPr>
        <w:lang/>
      </w:rPr>
      <w:t>1</w:t>
    </w:r>
    <w:r>
      <w:rPr>
        <w:rFonts w:hint="eastAsia"/>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6"/>
    <w:multiLevelType w:val="singleLevel"/>
    <w:tmpl w:val="00000006"/>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3188"/>
    <w:rsid w:val="00013FA2"/>
    <w:rsid w:val="00036119"/>
    <w:rsid w:val="00045AAA"/>
    <w:rsid w:val="00053414"/>
    <w:rsid w:val="000800C8"/>
    <w:rsid w:val="001465F6"/>
    <w:rsid w:val="00282DDD"/>
    <w:rsid w:val="00380335"/>
    <w:rsid w:val="00382F72"/>
    <w:rsid w:val="003B0149"/>
    <w:rsid w:val="003B7159"/>
    <w:rsid w:val="004457DF"/>
    <w:rsid w:val="004500A1"/>
    <w:rsid w:val="00497382"/>
    <w:rsid w:val="004A39B6"/>
    <w:rsid w:val="004C55A1"/>
    <w:rsid w:val="004E7FDC"/>
    <w:rsid w:val="005228D6"/>
    <w:rsid w:val="00532F30"/>
    <w:rsid w:val="00541351"/>
    <w:rsid w:val="00547412"/>
    <w:rsid w:val="005B5EA5"/>
    <w:rsid w:val="005E1CDA"/>
    <w:rsid w:val="005F62AA"/>
    <w:rsid w:val="005F6B59"/>
    <w:rsid w:val="00601D63"/>
    <w:rsid w:val="00615E63"/>
    <w:rsid w:val="00644754"/>
    <w:rsid w:val="00657AE6"/>
    <w:rsid w:val="00664C32"/>
    <w:rsid w:val="006762D5"/>
    <w:rsid w:val="00684B14"/>
    <w:rsid w:val="006C1007"/>
    <w:rsid w:val="00710B31"/>
    <w:rsid w:val="00715126"/>
    <w:rsid w:val="00734A47"/>
    <w:rsid w:val="00744467"/>
    <w:rsid w:val="00775FB0"/>
    <w:rsid w:val="007861AF"/>
    <w:rsid w:val="007D20E9"/>
    <w:rsid w:val="007D2522"/>
    <w:rsid w:val="00835247"/>
    <w:rsid w:val="008404EF"/>
    <w:rsid w:val="0088787E"/>
    <w:rsid w:val="008B7835"/>
    <w:rsid w:val="008C1993"/>
    <w:rsid w:val="008D280C"/>
    <w:rsid w:val="008F0BD7"/>
    <w:rsid w:val="008F3C89"/>
    <w:rsid w:val="00952D32"/>
    <w:rsid w:val="009B5148"/>
    <w:rsid w:val="009D39AB"/>
    <w:rsid w:val="009D4445"/>
    <w:rsid w:val="009D7928"/>
    <w:rsid w:val="00A03AF8"/>
    <w:rsid w:val="00A2189B"/>
    <w:rsid w:val="00A360EF"/>
    <w:rsid w:val="00A46B07"/>
    <w:rsid w:val="00A87C7A"/>
    <w:rsid w:val="00AC28CA"/>
    <w:rsid w:val="00AD1573"/>
    <w:rsid w:val="00AE5E56"/>
    <w:rsid w:val="00B018DA"/>
    <w:rsid w:val="00B24148"/>
    <w:rsid w:val="00B2710E"/>
    <w:rsid w:val="00B334A3"/>
    <w:rsid w:val="00B932F5"/>
    <w:rsid w:val="00BE608D"/>
    <w:rsid w:val="00C83D2E"/>
    <w:rsid w:val="00CB1137"/>
    <w:rsid w:val="00CF2A91"/>
    <w:rsid w:val="00D21899"/>
    <w:rsid w:val="00D21A69"/>
    <w:rsid w:val="00D22F6B"/>
    <w:rsid w:val="00D274ED"/>
    <w:rsid w:val="00D4681C"/>
    <w:rsid w:val="00D72AF2"/>
    <w:rsid w:val="00DA775D"/>
    <w:rsid w:val="00DB202D"/>
    <w:rsid w:val="00E326F3"/>
    <w:rsid w:val="00EC63D4"/>
    <w:rsid w:val="00F026C8"/>
    <w:rsid w:val="00F0630C"/>
    <w:rsid w:val="00F32C35"/>
    <w:rsid w:val="00FB75C5"/>
    <w:rsid w:val="00FC7D7E"/>
    <w:rsid w:val="074A19B1"/>
    <w:rsid w:val="07CF2B05"/>
    <w:rsid w:val="147817F9"/>
    <w:rsid w:val="17F756BE"/>
    <w:rsid w:val="197A1548"/>
    <w:rsid w:val="1ACD0F46"/>
    <w:rsid w:val="1F6D323E"/>
    <w:rsid w:val="22492B53"/>
    <w:rsid w:val="240D4995"/>
    <w:rsid w:val="2A391AC2"/>
    <w:rsid w:val="32A6050E"/>
    <w:rsid w:val="4B33401B"/>
    <w:rsid w:val="4D610C84"/>
    <w:rsid w:val="6486709D"/>
    <w:rsid w:val="67FA7AD8"/>
    <w:rsid w:val="697F2E91"/>
    <w:rsid w:val="6F253944"/>
    <w:rsid w:val="7D2A6155"/>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nhideWhenUsed="0" w:uiPriority="0" w:semiHidden="0"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iPriority="99" w:name="footnote text"/>
    <w:lsdException w:unhideWhenUsed="0" w:uiPriority="0" w:semiHidden="0" w:name="annotation text"/>
    <w:lsdException w:unhideWhenUsed="0" w:uiPriority="0" w:semiHidden="0" w:name="header"/>
    <w:lsdException w:unhideWhenUsed="0" w:uiPriority="0" w:semiHidden="0" w:name="footer"/>
    <w:lsdException w:uiPriority="99" w:name="index heading"/>
    <w:lsdException w:qFormat="1" w:unhideWhenUsed="0" w:uiPriority="0" w:semiHidden="0" w:name="caption"/>
    <w:lsdException w:uiPriority="99" w:name="table of figures"/>
    <w:lsdException w:uiPriority="99" w:name="envelope address"/>
    <w:lsdException w:uiPriority="99" w:name="envelope return"/>
    <w:lsdException w:uiPriority="99" w:name="footnote reference"/>
    <w:lsdException w:unhideWhenUsed="0" w:uiPriority="0" w:semiHidden="0" w:name="annotation reference"/>
    <w:lsdException w:uiPriority="99" w:name="line number"/>
    <w:lsdException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nhideWhenUsed="0" w:uiPriority="0" w:semiHidden="0" w:name="Default Paragraph Font"/>
    <w:lsdException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sdException w:uiPriority="99" w:name="Salutation"/>
    <w:lsdException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99" w:name="Plain Text"/>
    <w:lsdException w:uiPriority="99" w:name="E-mail Signature"/>
    <w:lsdException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nhideWhenUsed="0" w:uiPriority="59" w:semiHidden="0" w:name="Table Grid"/>
    <w:lsdException w:uiPriority="99" w:name="Table Theme"/>
    <w:lsdException w:qFormat="1" w:unhideWhenUsed="0" w:uiPriority="0"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0" w:semiHidden="0" w:name=""/>
    <w:lsdException w:qFormat="1" w:unhideWhenUsed="0" w:uiPriority="0" w:semiHidden="0" w:name="List Paragraph"/>
    <w:lsdException w:qFormat="1" w:unhideWhenUsed="0" w:uiPriority="0" w:semiHidden="0" w:name="Quote"/>
    <w:lsdException w:qFormat="1" w:unhideWhenUsed="0" w:uiPriority="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kern w:val="2"/>
      <w:sz w:val="21"/>
      <w:szCs w:val="22"/>
      <w:lang w:val="en-US" w:eastAsia="zh-CN" w:bidi="ar-SA"/>
    </w:rPr>
  </w:style>
  <w:style w:type="paragraph" w:styleId="2">
    <w:name w:val="heading 1"/>
    <w:basedOn w:val="1"/>
    <w:next w:val="1"/>
    <w:link w:val="48"/>
    <w:qFormat/>
    <w:uiPriority w:val="0"/>
    <w:pPr>
      <w:keepNext/>
      <w:keepLines/>
      <w:spacing w:before="340" w:beforeLines="0" w:after="330" w:afterLines="0" w:line="576" w:lineRule="auto"/>
      <w:outlineLvl w:val="0"/>
    </w:pPr>
    <w:rPr>
      <w:b/>
      <w:bCs/>
      <w:kern w:val="44"/>
      <w:sz w:val="44"/>
      <w:szCs w:val="44"/>
    </w:rPr>
  </w:style>
  <w:style w:type="paragraph" w:styleId="3">
    <w:name w:val="heading 2"/>
    <w:basedOn w:val="1"/>
    <w:next w:val="1"/>
    <w:link w:val="72"/>
    <w:qFormat/>
    <w:uiPriority w:val="0"/>
    <w:pPr>
      <w:keepNext/>
      <w:keepLines/>
      <w:spacing w:before="260" w:beforeLines="0" w:after="260" w:afterLines="0" w:line="413" w:lineRule="auto"/>
      <w:outlineLvl w:val="1"/>
    </w:pPr>
    <w:rPr>
      <w:rFonts w:ascii="Cambria" w:hAnsi="Cambria"/>
      <w:b/>
      <w:bCs/>
      <w:sz w:val="32"/>
      <w:szCs w:val="32"/>
    </w:rPr>
  </w:style>
  <w:style w:type="paragraph" w:styleId="4">
    <w:name w:val="heading 3"/>
    <w:basedOn w:val="1"/>
    <w:next w:val="1"/>
    <w:link w:val="73"/>
    <w:qFormat/>
    <w:uiPriority w:val="0"/>
    <w:pPr>
      <w:keepNext/>
      <w:keepLines/>
      <w:spacing w:before="260" w:beforeLines="0" w:after="260" w:afterLines="0" w:line="413" w:lineRule="auto"/>
      <w:outlineLvl w:val="2"/>
    </w:pPr>
    <w:rPr>
      <w:b/>
      <w:bCs/>
      <w:sz w:val="32"/>
      <w:szCs w:val="32"/>
    </w:rPr>
  </w:style>
  <w:style w:type="paragraph" w:styleId="5">
    <w:name w:val="heading 4"/>
    <w:basedOn w:val="1"/>
    <w:next w:val="1"/>
    <w:link w:val="65"/>
    <w:qFormat/>
    <w:uiPriority w:val="0"/>
    <w:pPr>
      <w:keepNext/>
      <w:keepLines/>
      <w:spacing w:before="280" w:beforeLines="0" w:after="290" w:afterLines="0" w:line="372" w:lineRule="auto"/>
      <w:outlineLvl w:val="3"/>
    </w:pPr>
    <w:rPr>
      <w:rFonts w:ascii="Cambria" w:hAnsi="Cambria"/>
      <w:b/>
      <w:bCs/>
      <w:sz w:val="28"/>
      <w:szCs w:val="28"/>
    </w:rPr>
  </w:style>
  <w:style w:type="paragraph" w:styleId="6">
    <w:name w:val="heading 5"/>
    <w:basedOn w:val="1"/>
    <w:next w:val="1"/>
    <w:link w:val="59"/>
    <w:qFormat/>
    <w:uiPriority w:val="0"/>
    <w:pPr>
      <w:keepNext/>
      <w:keepLines/>
      <w:spacing w:before="280" w:beforeLines="0" w:after="290" w:afterLines="0" w:line="372" w:lineRule="auto"/>
      <w:outlineLvl w:val="4"/>
    </w:pPr>
    <w:rPr>
      <w:b/>
      <w:bCs/>
      <w:sz w:val="28"/>
      <w:szCs w:val="28"/>
    </w:rPr>
  </w:style>
  <w:style w:type="paragraph" w:styleId="7">
    <w:name w:val="heading 6"/>
    <w:basedOn w:val="1"/>
    <w:next w:val="1"/>
    <w:link w:val="76"/>
    <w:qFormat/>
    <w:uiPriority w:val="0"/>
    <w:pPr>
      <w:keepNext/>
      <w:keepLines/>
      <w:spacing w:before="240" w:beforeLines="0" w:after="64" w:afterLines="0" w:line="317" w:lineRule="auto"/>
      <w:outlineLvl w:val="5"/>
    </w:pPr>
    <w:rPr>
      <w:rFonts w:ascii="Cambria" w:hAnsi="Cambria"/>
      <w:b/>
      <w:bCs/>
      <w:sz w:val="24"/>
      <w:szCs w:val="24"/>
    </w:rPr>
  </w:style>
  <w:style w:type="paragraph" w:styleId="8">
    <w:name w:val="heading 7"/>
    <w:basedOn w:val="1"/>
    <w:next w:val="1"/>
    <w:link w:val="42"/>
    <w:qFormat/>
    <w:uiPriority w:val="0"/>
    <w:pPr>
      <w:keepNext/>
      <w:keepLines/>
      <w:spacing w:before="240" w:beforeLines="0" w:after="64" w:afterLines="0" w:line="317" w:lineRule="auto"/>
      <w:outlineLvl w:val="6"/>
    </w:pPr>
    <w:rPr>
      <w:b/>
      <w:bCs/>
      <w:sz w:val="24"/>
      <w:szCs w:val="24"/>
    </w:rPr>
  </w:style>
  <w:style w:type="paragraph" w:styleId="9">
    <w:name w:val="heading 8"/>
    <w:basedOn w:val="1"/>
    <w:next w:val="1"/>
    <w:link w:val="63"/>
    <w:qFormat/>
    <w:uiPriority w:val="0"/>
    <w:pPr>
      <w:keepNext/>
      <w:keepLines/>
      <w:spacing w:before="240" w:beforeLines="0" w:after="64" w:afterLines="0" w:line="317" w:lineRule="auto"/>
      <w:outlineLvl w:val="7"/>
    </w:pPr>
    <w:rPr>
      <w:rFonts w:ascii="Cambria" w:hAnsi="Cambria"/>
      <w:sz w:val="24"/>
      <w:szCs w:val="24"/>
    </w:rPr>
  </w:style>
  <w:style w:type="paragraph" w:styleId="10">
    <w:name w:val="heading 9"/>
    <w:basedOn w:val="1"/>
    <w:next w:val="1"/>
    <w:link w:val="71"/>
    <w:qFormat/>
    <w:uiPriority w:val="0"/>
    <w:pPr>
      <w:keepNext/>
      <w:keepLines/>
      <w:spacing w:before="240" w:beforeLines="0" w:after="64" w:afterLines="0" w:line="317" w:lineRule="auto"/>
      <w:outlineLvl w:val="8"/>
    </w:pPr>
    <w:rPr>
      <w:rFonts w:ascii="Cambria" w:hAnsi="Cambria"/>
      <w:szCs w:val="21"/>
    </w:rPr>
  </w:style>
  <w:style w:type="character" w:default="1" w:styleId="35">
    <w:name w:val="Default Paragraph Font"/>
    <w:uiPriority w:val="0"/>
  </w:style>
  <w:style w:type="table" w:default="1" w:styleId="34">
    <w:name w:val="Normal Table"/>
    <w:unhideWhenUsed/>
    <w:uiPriority w:val="99"/>
    <w:tblPr>
      <w:tblStyle w:val="34"/>
      <w:tblCellMar>
        <w:top w:w="0" w:type="dxa"/>
        <w:left w:w="108" w:type="dxa"/>
        <w:bottom w:w="0" w:type="dxa"/>
        <w:right w:w="108" w:type="dxa"/>
      </w:tblCellMar>
    </w:tblPr>
  </w:style>
  <w:style w:type="paragraph" w:styleId="11">
    <w:name w:val="toc 7"/>
    <w:basedOn w:val="1"/>
    <w:next w:val="1"/>
    <w:uiPriority w:val="0"/>
    <w:pPr>
      <w:ind w:left="2520" w:leftChars="1200"/>
    </w:pPr>
  </w:style>
  <w:style w:type="paragraph" w:styleId="12">
    <w:name w:val="Normal Indent"/>
    <w:basedOn w:val="1"/>
    <w:uiPriority w:val="0"/>
    <w:pPr>
      <w:adjustRightInd w:val="0"/>
      <w:spacing w:line="360" w:lineRule="atLeast"/>
      <w:ind w:firstLine="482"/>
      <w:textAlignment w:val="baseline"/>
    </w:pPr>
    <w:rPr>
      <w:rFonts w:ascii="Times New Roman" w:hAnsi="Times New Roman"/>
      <w:kern w:val="0"/>
      <w:sz w:val="24"/>
      <w:szCs w:val="20"/>
    </w:rPr>
  </w:style>
  <w:style w:type="paragraph" w:styleId="13">
    <w:name w:val="caption"/>
    <w:basedOn w:val="1"/>
    <w:next w:val="1"/>
    <w:qFormat/>
    <w:uiPriority w:val="0"/>
    <w:rPr>
      <w:rFonts w:ascii="Cambria" w:hAnsi="Cambria" w:eastAsia="黑体" w:cs="Times New Roman"/>
      <w:sz w:val="20"/>
      <w:szCs w:val="20"/>
    </w:rPr>
  </w:style>
  <w:style w:type="paragraph" w:styleId="14">
    <w:name w:val="Document Map"/>
    <w:basedOn w:val="1"/>
    <w:link w:val="56"/>
    <w:uiPriority w:val="0"/>
    <w:pPr>
      <w:shd w:val="clear" w:color="auto" w:fill="000080"/>
    </w:pPr>
    <w:rPr>
      <w:rFonts w:ascii="Times New Roman" w:hAnsi="Times New Roman"/>
      <w:kern w:val="0"/>
      <w:sz w:val="20"/>
      <w:szCs w:val="24"/>
      <w:shd w:val="clear" w:color="auto" w:fill="000080"/>
    </w:rPr>
  </w:style>
  <w:style w:type="paragraph" w:styleId="15">
    <w:name w:val="annotation text"/>
    <w:basedOn w:val="1"/>
    <w:link w:val="75"/>
    <w:uiPriority w:val="0"/>
    <w:pPr>
      <w:jc w:val="left"/>
    </w:pPr>
  </w:style>
  <w:style w:type="paragraph" w:styleId="16">
    <w:name w:val="Body Text"/>
    <w:basedOn w:val="1"/>
    <w:link w:val="61"/>
    <w:uiPriority w:val="0"/>
    <w:pPr>
      <w:adjustRightInd w:val="0"/>
      <w:spacing w:after="60" w:afterLines="0" w:line="360" w:lineRule="atLeast"/>
      <w:ind w:left="72" w:leftChars="30" w:right="30" w:rightChars="30"/>
      <w:jc w:val="center"/>
      <w:textAlignment w:val="baseline"/>
    </w:pPr>
    <w:rPr>
      <w:rFonts w:ascii="Times New Roman" w:hAnsi="Times New Roman"/>
      <w:kern w:val="0"/>
      <w:sz w:val="20"/>
      <w:szCs w:val="20"/>
    </w:rPr>
  </w:style>
  <w:style w:type="paragraph" w:styleId="17">
    <w:name w:val="index 4"/>
    <w:basedOn w:val="1"/>
    <w:next w:val="1"/>
    <w:uiPriority w:val="0"/>
    <w:pPr>
      <w:ind w:left="600" w:leftChars="600"/>
    </w:pPr>
    <w:rPr>
      <w:rFonts w:ascii="Times New Roman" w:hAnsi="Times New Roman"/>
      <w:szCs w:val="24"/>
    </w:rPr>
  </w:style>
  <w:style w:type="paragraph" w:styleId="18">
    <w:name w:val="toc 5"/>
    <w:basedOn w:val="1"/>
    <w:next w:val="1"/>
    <w:uiPriority w:val="0"/>
    <w:pPr>
      <w:tabs>
        <w:tab w:val="right" w:leader="dot" w:pos="8296"/>
      </w:tabs>
      <w:ind w:left="1050" w:leftChars="500"/>
    </w:pPr>
  </w:style>
  <w:style w:type="paragraph" w:styleId="19">
    <w:name w:val="toc 3"/>
    <w:basedOn w:val="1"/>
    <w:next w:val="1"/>
    <w:uiPriority w:val="0"/>
    <w:pPr>
      <w:ind w:left="840" w:leftChars="400"/>
    </w:pPr>
  </w:style>
  <w:style w:type="paragraph" w:styleId="20">
    <w:name w:val="toc 8"/>
    <w:basedOn w:val="1"/>
    <w:next w:val="1"/>
    <w:uiPriority w:val="0"/>
    <w:pPr>
      <w:ind w:left="2940" w:leftChars="1400"/>
    </w:pPr>
  </w:style>
  <w:style w:type="paragraph" w:styleId="21">
    <w:name w:val="Date"/>
    <w:basedOn w:val="1"/>
    <w:next w:val="1"/>
    <w:link w:val="51"/>
    <w:uiPriority w:val="0"/>
    <w:pPr>
      <w:ind w:left="100" w:leftChars="2500"/>
    </w:pPr>
    <w:rPr>
      <w:rFonts w:ascii="宋体" w:hAnsi="Times New Roman"/>
      <w:kern w:val="0"/>
      <w:sz w:val="28"/>
      <w:szCs w:val="20"/>
    </w:rPr>
  </w:style>
  <w:style w:type="paragraph" w:styleId="22">
    <w:name w:val="Balloon Text"/>
    <w:basedOn w:val="1"/>
    <w:link w:val="62"/>
    <w:uiPriority w:val="0"/>
    <w:rPr>
      <w:rFonts w:ascii="宋体" w:hAnsi="Times New Roman"/>
      <w:kern w:val="0"/>
      <w:sz w:val="18"/>
      <w:szCs w:val="18"/>
    </w:rPr>
  </w:style>
  <w:style w:type="paragraph" w:styleId="23">
    <w:name w:val="footer"/>
    <w:basedOn w:val="1"/>
    <w:link w:val="78"/>
    <w:uiPriority w:val="0"/>
    <w:pPr>
      <w:tabs>
        <w:tab w:val="center" w:pos="4153"/>
        <w:tab w:val="right" w:pos="8306"/>
      </w:tabs>
      <w:snapToGrid w:val="0"/>
      <w:jc w:val="left"/>
    </w:pPr>
    <w:rPr>
      <w:sz w:val="18"/>
      <w:szCs w:val="18"/>
    </w:rPr>
  </w:style>
  <w:style w:type="paragraph" w:styleId="24">
    <w:name w:val="header"/>
    <w:basedOn w:val="1"/>
    <w:link w:val="54"/>
    <w:uiPriority w:val="0"/>
    <w:pPr>
      <w:pBdr>
        <w:bottom w:val="single" w:color="auto" w:sz="6" w:space="1"/>
      </w:pBdr>
      <w:tabs>
        <w:tab w:val="center" w:pos="4153"/>
        <w:tab w:val="right" w:pos="8306"/>
      </w:tabs>
      <w:snapToGrid w:val="0"/>
      <w:jc w:val="center"/>
    </w:pPr>
    <w:rPr>
      <w:sz w:val="18"/>
      <w:szCs w:val="18"/>
    </w:rPr>
  </w:style>
  <w:style w:type="paragraph" w:styleId="25">
    <w:name w:val="toc 1"/>
    <w:basedOn w:val="1"/>
    <w:next w:val="1"/>
    <w:uiPriority w:val="0"/>
    <w:pPr>
      <w:tabs>
        <w:tab w:val="right" w:leader="dot" w:pos="8296"/>
      </w:tabs>
    </w:pPr>
    <w:rPr>
      <w:rFonts w:ascii="宋体" w:hAnsi="Times New Roman" w:eastAsia="楷体_GB2312" w:cs="TimesNewRomanPSMT"/>
      <w:b/>
      <w:kern w:val="0"/>
      <w:sz w:val="28"/>
      <w:szCs w:val="20"/>
      <w:lang/>
    </w:rPr>
  </w:style>
  <w:style w:type="paragraph" w:styleId="26">
    <w:name w:val="toc 4"/>
    <w:basedOn w:val="1"/>
    <w:next w:val="1"/>
    <w:uiPriority w:val="0"/>
    <w:pPr>
      <w:tabs>
        <w:tab w:val="left" w:pos="1890"/>
        <w:tab w:val="right" w:leader="dot" w:pos="8296"/>
      </w:tabs>
      <w:ind w:left="630" w:leftChars="300"/>
    </w:pPr>
  </w:style>
  <w:style w:type="paragraph" w:styleId="27">
    <w:name w:val="Subtitle"/>
    <w:basedOn w:val="1"/>
    <w:next w:val="1"/>
    <w:link w:val="77"/>
    <w:qFormat/>
    <w:uiPriority w:val="0"/>
    <w:pPr>
      <w:spacing w:before="240" w:beforeLines="0" w:after="60" w:afterLines="0" w:line="312" w:lineRule="auto"/>
      <w:jc w:val="center"/>
      <w:outlineLvl w:val="1"/>
    </w:pPr>
    <w:rPr>
      <w:rFonts w:ascii="Cambria" w:hAnsi="Cambria"/>
      <w:b/>
      <w:bCs/>
      <w:kern w:val="28"/>
      <w:sz w:val="32"/>
      <w:szCs w:val="32"/>
    </w:rPr>
  </w:style>
  <w:style w:type="paragraph" w:styleId="28">
    <w:name w:val="toc 6"/>
    <w:basedOn w:val="1"/>
    <w:next w:val="1"/>
    <w:uiPriority w:val="0"/>
    <w:pPr>
      <w:ind w:left="2100" w:leftChars="1000"/>
    </w:pPr>
  </w:style>
  <w:style w:type="paragraph" w:styleId="29">
    <w:name w:val="toc 2"/>
    <w:basedOn w:val="1"/>
    <w:next w:val="1"/>
    <w:uiPriority w:val="0"/>
    <w:pPr>
      <w:ind w:left="420" w:leftChars="200"/>
    </w:pPr>
    <w:rPr>
      <w:rFonts w:ascii="宋体" w:hAnsi="Times New Roman"/>
      <w:b/>
      <w:sz w:val="28"/>
      <w:szCs w:val="20"/>
    </w:rPr>
  </w:style>
  <w:style w:type="paragraph" w:styleId="30">
    <w:name w:val="toc 9"/>
    <w:basedOn w:val="1"/>
    <w:next w:val="1"/>
    <w:uiPriority w:val="0"/>
    <w:pPr>
      <w:ind w:left="3360" w:leftChars="1600"/>
    </w:pPr>
  </w:style>
  <w:style w:type="paragraph" w:styleId="31">
    <w:name w:val="Normal (Web)"/>
    <w:basedOn w:val="1"/>
    <w:uiPriority w:val="0"/>
    <w:pPr>
      <w:widowControl/>
      <w:spacing w:before="100" w:beforeLines="0" w:beforeAutospacing="1" w:after="100" w:afterLines="0" w:afterAutospacing="1" w:line="320" w:lineRule="atLeast"/>
      <w:jc w:val="left"/>
    </w:pPr>
    <w:rPr>
      <w:rFonts w:ascii="宋体" w:hAnsi="宋体"/>
      <w:kern w:val="0"/>
      <w:sz w:val="18"/>
      <w:szCs w:val="18"/>
    </w:rPr>
  </w:style>
  <w:style w:type="paragraph" w:styleId="32">
    <w:name w:val="Title"/>
    <w:basedOn w:val="1"/>
    <w:next w:val="1"/>
    <w:link w:val="74"/>
    <w:qFormat/>
    <w:uiPriority w:val="0"/>
    <w:pPr>
      <w:spacing w:before="240" w:beforeLines="0" w:after="60" w:afterLines="0"/>
      <w:jc w:val="center"/>
      <w:outlineLvl w:val="0"/>
    </w:pPr>
    <w:rPr>
      <w:rFonts w:ascii="Cambria" w:hAnsi="Cambria"/>
      <w:b/>
      <w:bCs/>
      <w:sz w:val="32"/>
      <w:szCs w:val="32"/>
    </w:rPr>
  </w:style>
  <w:style w:type="paragraph" w:styleId="33">
    <w:name w:val="annotation subject"/>
    <w:basedOn w:val="15"/>
    <w:next w:val="15"/>
    <w:link w:val="64"/>
    <w:uiPriority w:val="0"/>
    <w:rPr>
      <w:rFonts w:ascii="宋体" w:hAnsi="Times New Roman"/>
      <w:b/>
      <w:bCs/>
      <w:kern w:val="0"/>
      <w:sz w:val="28"/>
      <w:szCs w:val="20"/>
    </w:rPr>
  </w:style>
  <w:style w:type="character" w:styleId="36">
    <w:name w:val="Strong"/>
    <w:qFormat/>
    <w:uiPriority w:val="0"/>
    <w:rPr>
      <w:b/>
      <w:bCs/>
    </w:rPr>
  </w:style>
  <w:style w:type="character" w:styleId="37">
    <w:name w:val="page number"/>
    <w:uiPriority w:val="0"/>
    <w:rPr>
      <w:rFonts w:cs="Times New Roman"/>
    </w:rPr>
  </w:style>
  <w:style w:type="character" w:styleId="38">
    <w:name w:val="Emphasis"/>
    <w:qFormat/>
    <w:uiPriority w:val="0"/>
    <w:rPr>
      <w:i/>
      <w:iCs/>
    </w:rPr>
  </w:style>
  <w:style w:type="character" w:styleId="39">
    <w:name w:val="Hyperlink"/>
    <w:uiPriority w:val="0"/>
    <w:rPr>
      <w:rFonts w:cs="Times New Roman"/>
      <w:color w:val="0000FF"/>
      <w:u w:val="single"/>
    </w:rPr>
  </w:style>
  <w:style w:type="character" w:styleId="40">
    <w:name w:val="annotation reference"/>
    <w:uiPriority w:val="0"/>
    <w:rPr>
      <w:rFonts w:cs="Times New Roman"/>
      <w:sz w:val="21"/>
      <w:szCs w:val="21"/>
    </w:rPr>
  </w:style>
  <w:style w:type="character" w:customStyle="1" w:styleId="41">
    <w:name w:val="正文文本 Char1"/>
    <w:uiPriority w:val="0"/>
    <w:rPr>
      <w:kern w:val="2"/>
      <w:sz w:val="21"/>
      <w:szCs w:val="22"/>
    </w:rPr>
  </w:style>
  <w:style w:type="character" w:customStyle="1" w:styleId="42">
    <w:name w:val="标题 7 Char"/>
    <w:link w:val="8"/>
    <w:uiPriority w:val="0"/>
    <w:rPr>
      <w:b/>
      <w:bCs/>
      <w:kern w:val="2"/>
      <w:sz w:val="24"/>
      <w:szCs w:val="24"/>
    </w:rPr>
  </w:style>
  <w:style w:type="character" w:customStyle="1" w:styleId="43">
    <w:name w:val="明显引用 Char"/>
    <w:link w:val="44"/>
    <w:uiPriority w:val="0"/>
    <w:rPr>
      <w:b/>
      <w:bCs/>
      <w:i/>
      <w:iCs/>
      <w:color w:val="4F81BD"/>
      <w:kern w:val="2"/>
      <w:sz w:val="21"/>
      <w:szCs w:val="22"/>
    </w:rPr>
  </w:style>
  <w:style w:type="paragraph" w:styleId="44">
    <w:name w:val="Intense Quote"/>
    <w:basedOn w:val="1"/>
    <w:next w:val="1"/>
    <w:link w:val="43"/>
    <w:qFormat/>
    <w:uiPriority w:val="0"/>
    <w:pPr>
      <w:pBdr>
        <w:bottom w:val="single" w:color="4F81BD" w:sz="4" w:space="4"/>
      </w:pBdr>
      <w:spacing w:before="200" w:beforeLines="0" w:after="280" w:afterLines="0"/>
      <w:ind w:left="936" w:right="936"/>
    </w:pPr>
    <w:rPr>
      <w:b/>
      <w:bCs/>
      <w:i/>
      <w:iCs/>
      <w:color w:val="4F81BD"/>
    </w:rPr>
  </w:style>
  <w:style w:type="character" w:styleId="45">
    <w:name w:val=""/>
    <w:qFormat/>
    <w:uiPriority w:val="0"/>
    <w:rPr>
      <w:i/>
      <w:iCs/>
      <w:color w:val="808080"/>
    </w:rPr>
  </w:style>
  <w:style w:type="character" w:customStyle="1" w:styleId="46">
    <w:name w:val="标题4 Char Char"/>
    <w:link w:val="47"/>
    <w:uiPriority w:val="0"/>
    <w:rPr>
      <w:rFonts w:ascii="Arial" w:hAnsi="Arial"/>
      <w:b/>
      <w:bCs/>
      <w:sz w:val="24"/>
      <w:szCs w:val="32"/>
    </w:rPr>
  </w:style>
  <w:style w:type="paragraph" w:customStyle="1" w:styleId="47">
    <w:name w:val="标题4"/>
    <w:basedOn w:val="3"/>
    <w:next w:val="17"/>
    <w:link w:val="46"/>
    <w:uiPriority w:val="0"/>
    <w:pPr>
      <w:spacing w:line="413" w:lineRule="auto"/>
    </w:pPr>
    <w:rPr>
      <w:rFonts w:ascii="Arial" w:hAnsi="Arial"/>
      <w:kern w:val="0"/>
      <w:sz w:val="24"/>
    </w:rPr>
  </w:style>
  <w:style w:type="character" w:customStyle="1" w:styleId="48">
    <w:name w:val="标题 1 Char"/>
    <w:link w:val="2"/>
    <w:uiPriority w:val="0"/>
    <w:rPr>
      <w:b/>
      <w:bCs/>
      <w:kern w:val="44"/>
      <w:sz w:val="44"/>
      <w:szCs w:val="44"/>
    </w:rPr>
  </w:style>
  <w:style w:type="character" w:customStyle="1" w:styleId="49">
    <w:name w:val="标题5 Char Char"/>
    <w:link w:val="50"/>
    <w:uiPriority w:val="0"/>
    <w:rPr>
      <w:rFonts w:ascii="Arial" w:hAnsi="Arial"/>
      <w:b/>
      <w:bCs/>
      <w:sz w:val="24"/>
      <w:szCs w:val="32"/>
    </w:rPr>
  </w:style>
  <w:style w:type="paragraph" w:customStyle="1" w:styleId="50">
    <w:name w:val="标题5"/>
    <w:basedOn w:val="4"/>
    <w:link w:val="49"/>
    <w:uiPriority w:val="0"/>
    <w:pPr>
      <w:spacing w:line="413" w:lineRule="auto"/>
    </w:pPr>
    <w:rPr>
      <w:rFonts w:ascii="Arial" w:hAnsi="Arial"/>
      <w:kern w:val="0"/>
      <w:sz w:val="24"/>
    </w:rPr>
  </w:style>
  <w:style w:type="character" w:customStyle="1" w:styleId="51">
    <w:name w:val="日期 Char"/>
    <w:link w:val="21"/>
    <w:uiPriority w:val="0"/>
    <w:rPr>
      <w:rFonts w:ascii="宋体" w:hAnsi="Times New Roman"/>
      <w:sz w:val="28"/>
    </w:rPr>
  </w:style>
  <w:style w:type="character" w:styleId="52">
    <w:name w:val=""/>
    <w:qFormat/>
    <w:uiPriority w:val="0"/>
    <w:rPr>
      <w:b/>
      <w:bCs/>
      <w:smallCaps/>
      <w:color w:val="C0504D"/>
      <w:spacing w:val="5"/>
      <w:u w:val="single"/>
    </w:rPr>
  </w:style>
  <w:style w:type="character" w:styleId="53">
    <w:name w:val=""/>
    <w:qFormat/>
    <w:uiPriority w:val="0"/>
    <w:rPr>
      <w:b/>
      <w:bCs/>
      <w:smallCaps/>
      <w:spacing w:val="5"/>
    </w:rPr>
  </w:style>
  <w:style w:type="character" w:customStyle="1" w:styleId="54">
    <w:name w:val="页眉 Char"/>
    <w:link w:val="24"/>
    <w:uiPriority w:val="0"/>
    <w:rPr>
      <w:kern w:val="2"/>
      <w:sz w:val="18"/>
      <w:szCs w:val="18"/>
    </w:rPr>
  </w:style>
  <w:style w:type="character" w:customStyle="1" w:styleId="55">
    <w:name w:val="批注框文本 Char1"/>
    <w:uiPriority w:val="0"/>
    <w:rPr>
      <w:kern w:val="2"/>
      <w:sz w:val="18"/>
      <w:szCs w:val="18"/>
    </w:rPr>
  </w:style>
  <w:style w:type="character" w:customStyle="1" w:styleId="56">
    <w:name w:val="文档结构图 Char"/>
    <w:link w:val="14"/>
    <w:uiPriority w:val="0"/>
    <w:rPr>
      <w:rFonts w:ascii="Times New Roman" w:hAnsi="Times New Roman"/>
      <w:szCs w:val="24"/>
      <w:shd w:val="clear" w:color="auto" w:fill="000080"/>
    </w:rPr>
  </w:style>
  <w:style w:type="character" w:customStyle="1" w:styleId="57">
    <w:name w:val="引用 Char"/>
    <w:link w:val="58"/>
    <w:uiPriority w:val="0"/>
    <w:rPr>
      <w:i/>
      <w:iCs/>
      <w:color w:val="000000"/>
      <w:kern w:val="2"/>
      <w:sz w:val="21"/>
      <w:szCs w:val="22"/>
    </w:rPr>
  </w:style>
  <w:style w:type="paragraph" w:styleId="58">
    <w:name w:val="Quote"/>
    <w:basedOn w:val="1"/>
    <w:next w:val="1"/>
    <w:link w:val="57"/>
    <w:qFormat/>
    <w:uiPriority w:val="0"/>
    <w:rPr>
      <w:i/>
      <w:iCs/>
      <w:color w:val="000000"/>
    </w:rPr>
  </w:style>
  <w:style w:type="character" w:customStyle="1" w:styleId="59">
    <w:name w:val="标题 5 Char"/>
    <w:link w:val="6"/>
    <w:uiPriority w:val="0"/>
    <w:rPr>
      <w:b/>
      <w:bCs/>
      <w:kern w:val="2"/>
      <w:sz w:val="28"/>
      <w:szCs w:val="28"/>
    </w:rPr>
  </w:style>
  <w:style w:type="character" w:customStyle="1" w:styleId="60">
    <w:name w:val="批注主题 Char1"/>
    <w:uiPriority w:val="0"/>
    <w:rPr>
      <w:b/>
      <w:bCs/>
      <w:kern w:val="2"/>
      <w:sz w:val="21"/>
      <w:szCs w:val="22"/>
    </w:rPr>
  </w:style>
  <w:style w:type="character" w:customStyle="1" w:styleId="61">
    <w:name w:val="正文文本 Char"/>
    <w:link w:val="16"/>
    <w:uiPriority w:val="0"/>
    <w:rPr>
      <w:rFonts w:ascii="Times New Roman" w:hAnsi="Times New Roman"/>
    </w:rPr>
  </w:style>
  <w:style w:type="character" w:customStyle="1" w:styleId="62">
    <w:name w:val="批注框文本 Char"/>
    <w:link w:val="22"/>
    <w:uiPriority w:val="0"/>
    <w:rPr>
      <w:rFonts w:ascii="宋体" w:hAnsi="Times New Roman"/>
      <w:sz w:val="18"/>
      <w:szCs w:val="18"/>
    </w:rPr>
  </w:style>
  <w:style w:type="character" w:customStyle="1" w:styleId="63">
    <w:name w:val="标题 8 Char"/>
    <w:link w:val="9"/>
    <w:uiPriority w:val="0"/>
    <w:rPr>
      <w:rFonts w:ascii="Cambria" w:hAnsi="Cambria" w:eastAsia="宋体" w:cs="Times New Roman"/>
      <w:kern w:val="2"/>
      <w:sz w:val="24"/>
      <w:szCs w:val="24"/>
    </w:rPr>
  </w:style>
  <w:style w:type="character" w:customStyle="1" w:styleId="64">
    <w:name w:val="批注主题 Char"/>
    <w:link w:val="33"/>
    <w:uiPriority w:val="0"/>
    <w:rPr>
      <w:rFonts w:ascii="宋体" w:hAnsi="Times New Roman"/>
      <w:b/>
      <w:bCs/>
      <w:sz w:val="28"/>
    </w:rPr>
  </w:style>
  <w:style w:type="character" w:customStyle="1" w:styleId="65">
    <w:name w:val="标题 4 Char"/>
    <w:link w:val="5"/>
    <w:uiPriority w:val="0"/>
    <w:rPr>
      <w:rFonts w:ascii="Cambria" w:hAnsi="Cambria" w:eastAsia="宋体" w:cs="Times New Roman"/>
      <w:b/>
      <w:bCs/>
      <w:kern w:val="2"/>
      <w:sz w:val="28"/>
      <w:szCs w:val="28"/>
    </w:rPr>
  </w:style>
  <w:style w:type="character" w:customStyle="1" w:styleId="66">
    <w:name w:val="日期 Char1"/>
    <w:uiPriority w:val="0"/>
    <w:rPr>
      <w:kern w:val="2"/>
      <w:sz w:val="21"/>
      <w:szCs w:val="22"/>
    </w:rPr>
  </w:style>
  <w:style w:type="character" w:styleId="67">
    <w:name w:val=""/>
    <w:qFormat/>
    <w:uiPriority w:val="0"/>
    <w:rPr>
      <w:b/>
      <w:bCs/>
      <w:i/>
      <w:iCs/>
      <w:color w:val="4F81BD"/>
    </w:rPr>
  </w:style>
  <w:style w:type="character" w:customStyle="1" w:styleId="68">
    <w:name w:val="textcontents"/>
    <w:uiPriority w:val="0"/>
    <w:rPr>
      <w:rFonts w:cs="Times New Roman"/>
    </w:rPr>
  </w:style>
  <w:style w:type="character" w:styleId="69">
    <w:name w:val=""/>
    <w:qFormat/>
    <w:uiPriority w:val="0"/>
    <w:rPr>
      <w:smallCaps/>
      <w:color w:val="C0504D"/>
      <w:u w:val="single"/>
    </w:rPr>
  </w:style>
  <w:style w:type="character" w:customStyle="1" w:styleId="70">
    <w:name w:val="批注文字 Char Char"/>
    <w:uiPriority w:val="0"/>
    <w:rPr>
      <w:rFonts w:ascii="宋体" w:hAnsi="Times New Roman" w:eastAsia="宋体" w:cs="Times New Roman"/>
      <w:sz w:val="28"/>
      <w:szCs w:val="20"/>
    </w:rPr>
  </w:style>
  <w:style w:type="character" w:customStyle="1" w:styleId="71">
    <w:name w:val="标题 9 Char"/>
    <w:link w:val="10"/>
    <w:uiPriority w:val="0"/>
    <w:rPr>
      <w:rFonts w:ascii="Cambria" w:hAnsi="Cambria" w:eastAsia="宋体" w:cs="Times New Roman"/>
      <w:kern w:val="2"/>
      <w:sz w:val="21"/>
      <w:szCs w:val="21"/>
    </w:rPr>
  </w:style>
  <w:style w:type="character" w:customStyle="1" w:styleId="72">
    <w:name w:val="标题 2 Char"/>
    <w:link w:val="3"/>
    <w:uiPriority w:val="0"/>
    <w:rPr>
      <w:rFonts w:ascii="Cambria" w:hAnsi="Cambria" w:eastAsia="宋体" w:cs="Times New Roman"/>
      <w:b/>
      <w:bCs/>
      <w:kern w:val="2"/>
      <w:sz w:val="32"/>
      <w:szCs w:val="32"/>
    </w:rPr>
  </w:style>
  <w:style w:type="character" w:customStyle="1" w:styleId="73">
    <w:name w:val="标题 3 Char"/>
    <w:link w:val="4"/>
    <w:uiPriority w:val="0"/>
    <w:rPr>
      <w:b/>
      <w:bCs/>
      <w:kern w:val="2"/>
      <w:sz w:val="32"/>
      <w:szCs w:val="32"/>
    </w:rPr>
  </w:style>
  <w:style w:type="character" w:customStyle="1" w:styleId="74">
    <w:name w:val="标题 Char"/>
    <w:link w:val="32"/>
    <w:uiPriority w:val="0"/>
    <w:rPr>
      <w:rFonts w:ascii="Cambria" w:hAnsi="Cambria" w:cs="Times New Roman"/>
      <w:b/>
      <w:bCs/>
      <w:kern w:val="2"/>
      <w:sz w:val="32"/>
      <w:szCs w:val="32"/>
    </w:rPr>
  </w:style>
  <w:style w:type="character" w:customStyle="1" w:styleId="75">
    <w:name w:val="批注文字 Char"/>
    <w:link w:val="15"/>
    <w:uiPriority w:val="0"/>
    <w:rPr>
      <w:kern w:val="2"/>
      <w:sz w:val="21"/>
      <w:szCs w:val="22"/>
    </w:rPr>
  </w:style>
  <w:style w:type="character" w:customStyle="1" w:styleId="76">
    <w:name w:val="标题 6 Char"/>
    <w:link w:val="7"/>
    <w:uiPriority w:val="0"/>
    <w:rPr>
      <w:rFonts w:ascii="Cambria" w:hAnsi="Cambria" w:eastAsia="宋体" w:cs="Times New Roman"/>
      <w:b/>
      <w:bCs/>
      <w:kern w:val="2"/>
      <w:sz w:val="24"/>
      <w:szCs w:val="24"/>
    </w:rPr>
  </w:style>
  <w:style w:type="character" w:customStyle="1" w:styleId="77">
    <w:name w:val="副标题 Char"/>
    <w:link w:val="27"/>
    <w:uiPriority w:val="0"/>
    <w:rPr>
      <w:rFonts w:ascii="Cambria" w:hAnsi="Cambria" w:cs="Times New Roman"/>
      <w:b/>
      <w:bCs/>
      <w:kern w:val="28"/>
      <w:sz w:val="32"/>
      <w:szCs w:val="32"/>
    </w:rPr>
  </w:style>
  <w:style w:type="character" w:customStyle="1" w:styleId="78">
    <w:name w:val="页脚 Char"/>
    <w:link w:val="23"/>
    <w:uiPriority w:val="0"/>
    <w:rPr>
      <w:kern w:val="2"/>
      <w:sz w:val="18"/>
      <w:szCs w:val="18"/>
    </w:rPr>
  </w:style>
  <w:style w:type="character" w:customStyle="1" w:styleId="79">
    <w:name w:val="文档结构图 Char1"/>
    <w:uiPriority w:val="0"/>
    <w:rPr>
      <w:rFonts w:ascii="宋体"/>
      <w:kern w:val="2"/>
      <w:sz w:val="18"/>
      <w:szCs w:val="18"/>
    </w:rPr>
  </w:style>
  <w:style w:type="paragraph" w:styleId="80">
    <w:name w:val=""/>
    <w:uiPriority w:val="0"/>
    <w:rPr>
      <w:rFonts w:ascii="Times New Roman" w:hAnsi="Times New Roman"/>
      <w:kern w:val="2"/>
      <w:sz w:val="21"/>
      <w:szCs w:val="24"/>
      <w:lang w:val="en-US" w:eastAsia="zh-CN" w:bidi="ar-SA"/>
    </w:rPr>
  </w:style>
  <w:style w:type="paragraph" w:customStyle="1" w:styleId="81">
    <w:name w:val="样式 标题 2 + Times New Roman 四号 非加粗 段前: 5 磅 段后: 0 磅 行距: 固定值 20..."/>
    <w:basedOn w:val="3"/>
    <w:uiPriority w:val="0"/>
    <w:pPr>
      <w:spacing w:before="100" w:beforeLines="0" w:after="0" w:afterLines="0" w:line="400" w:lineRule="exact"/>
    </w:pPr>
    <w:rPr>
      <w:rFonts w:ascii="Times New Roman" w:hAnsi="Times New Roman" w:eastAsia="黑体" w:cs="宋体"/>
      <w:b w:val="0"/>
      <w:bCs w:val="0"/>
      <w:kern w:val="0"/>
      <w:sz w:val="28"/>
      <w:szCs w:val="20"/>
    </w:rPr>
  </w:style>
  <w:style w:type="paragraph" w:styleId="82">
    <w:name w:val=""/>
    <w:basedOn w:val="2"/>
    <w:next w:val="1"/>
    <w:qFormat/>
    <w:uiPriority w:val="0"/>
    <w:pPr>
      <w:outlineLvl w:val="9"/>
    </w:pPr>
  </w:style>
  <w:style w:type="paragraph" w:customStyle="1" w:styleId="83">
    <w:name w:val="样式 标题 3 + (中文) 黑体 小四 非加粗 段前: 7.8 磅 段后: 0 磅 行距: 固定值 20 磅"/>
    <w:basedOn w:val="4"/>
    <w:uiPriority w:val="0"/>
    <w:pPr>
      <w:spacing w:before="0" w:beforeLines="0" w:after="0" w:afterLines="0" w:line="400" w:lineRule="exact"/>
    </w:pPr>
    <w:rPr>
      <w:rFonts w:ascii="Times New Roman" w:hAnsi="Times New Roman" w:eastAsia="黑体" w:cs="宋体"/>
      <w:b w:val="0"/>
      <w:bCs w:val="0"/>
      <w:sz w:val="24"/>
      <w:szCs w:val="20"/>
      <w:lang/>
    </w:rPr>
  </w:style>
  <w:style w:type="paragraph" w:customStyle="1" w:styleId="84">
    <w:name w:val="空半行"/>
    <w:basedOn w:val="1"/>
    <w:uiPriority w:val="0"/>
    <w:pPr>
      <w:adjustRightInd w:val="0"/>
      <w:spacing w:line="120" w:lineRule="exact"/>
      <w:textAlignment w:val="baseline"/>
    </w:pPr>
    <w:rPr>
      <w:rFonts w:ascii="Times New Roman" w:hAnsi="Times New Roman" w:eastAsia="仿宋_GB2312"/>
      <w:color w:val="FFFFFF"/>
      <w:kern w:val="0"/>
      <w:sz w:val="30"/>
      <w:szCs w:val="20"/>
    </w:rPr>
  </w:style>
  <w:style w:type="paragraph" w:styleId="85">
    <w:name w:val="No Spacing"/>
    <w:qFormat/>
    <w:uiPriority w:val="0"/>
    <w:pPr>
      <w:widowControl w:val="0"/>
      <w:jc w:val="both"/>
    </w:pPr>
    <w:rPr>
      <w:kern w:val="2"/>
      <w:sz w:val="21"/>
      <w:szCs w:val="22"/>
      <w:lang w:val="en-US" w:eastAsia="zh-CN" w:bidi="ar-SA"/>
    </w:rPr>
  </w:style>
  <w:style w:type="paragraph" w:styleId="86">
    <w:name w:val="List Paragraph"/>
    <w:basedOn w:val="1"/>
    <w:qFormat/>
    <w:uiPriority w:val="0"/>
    <w:pPr>
      <w:ind w:firstLine="420" w:firstLineChars="200"/>
    </w:pPr>
  </w:style>
  <w:style w:type="paragraph" w:customStyle="1" w:styleId="87">
    <w:name w:val="flNote"/>
    <w:basedOn w:val="1"/>
    <w:uiPriority w:val="0"/>
    <w:pPr>
      <w:adjustRightInd w:val="0"/>
      <w:spacing w:before="320" w:beforeLines="0" w:after="160" w:afterLines="0" w:line="360" w:lineRule="atLeast"/>
      <w:jc w:val="center"/>
      <w:textAlignment w:val="baseline"/>
    </w:pPr>
    <w:rPr>
      <w:rFonts w:ascii="Arial" w:hAnsi="Times New Roman" w:eastAsia="黑体"/>
      <w:kern w:val="0"/>
      <w:sz w:val="30"/>
      <w:szCs w:val="20"/>
    </w:rPr>
  </w:style>
</w:styles>
</file>

<file path=word/_rels/document.xml.rels><?xml version="1.0" encoding="UTF-8" standalone="yes"?>
<Relationships xmlns="http://schemas.openxmlformats.org/package/2006/relationships"><Relationship Id="rId9" Type="http://schemas.openxmlformats.org/officeDocument/2006/relationships/image" Target="media/image2.wmf"/><Relationship Id="rId8" Type="http://schemas.openxmlformats.org/officeDocument/2006/relationships/oleObject" Target="embeddings/oleObject2.bin"/><Relationship Id="rId7" Type="http://schemas.openxmlformats.org/officeDocument/2006/relationships/image" Target="media/image1.wmf"/><Relationship Id="rId6" Type="http://schemas.openxmlformats.org/officeDocument/2006/relationships/oleObject" Target="embeddings/oleObject1.bin"/><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5.wmf"/><Relationship Id="rId14" Type="http://schemas.openxmlformats.org/officeDocument/2006/relationships/oleObject" Target="embeddings/oleObject5.bin"/><Relationship Id="rId13" Type="http://schemas.openxmlformats.org/officeDocument/2006/relationships/image" Target="media/image4.wmf"/><Relationship Id="rId12" Type="http://schemas.openxmlformats.org/officeDocument/2006/relationships/oleObject" Target="embeddings/oleObject4.bin"/><Relationship Id="rId11" Type="http://schemas.openxmlformats.org/officeDocument/2006/relationships/image" Target="media/image3.wmf"/><Relationship Id="rId10" Type="http://schemas.openxmlformats.org/officeDocument/2006/relationships/oleObject" Target="embeddings/oleObject3.bin"/><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163</Pages>
  <Words>6233</Words>
  <Characters>7585</Characters>
  <Lines>648</Lines>
  <Paragraphs>182</Paragraphs>
  <TotalTime>0</TotalTime>
  <ScaleCrop>false</ScaleCrop>
  <LinksUpToDate>false</LinksUpToDate>
  <CharactersWithSpaces>8626</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2017-08-10T23:41:00Z</dcterms:created>
  <dc:creator>熊又球</dc:creator>
  <cp:lastModifiedBy>Administrator</cp:lastModifiedBy>
  <cp:lastPrinted>2017-10-20T05:26:27Z</cp:lastPrinted>
  <dcterms:modified xsi:type="dcterms:W3CDTF">2025-06-09T07:59:21Z</dcterms:modified>
  <dc:title>建设工程施工合同</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ICV">
    <vt:lpwstr>83121C61471947DFB45297ABA54DB2F9_13</vt:lpwstr>
  </property>
</Properties>
</file>