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版本号：ZTDJ-HZCG-2025101320251014001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2025年度小南海镇黄家山村烟区产业道路硬化项目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ZTDJ-HZCG-20251013</w:t>
      </w:r>
      <w:r>
        <w:br/>
      </w:r>
      <w:r>
        <w:br/>
      </w:r>
      <w:r>
        <w:br/>
      </w:r>
    </w:p>
    <w:p>
      <w:pPr>
        <w:pStyle w:val="null3"/>
        <w:jc w:val="center"/>
        <w:outlineLvl w:val="2"/>
      </w:pPr>
      <w:r>
        <w:rPr>
          <w:rFonts w:ascii="仿宋_GB2312" w:hAnsi="仿宋_GB2312" w:cs="仿宋_GB2312" w:eastAsia="仿宋_GB2312"/>
          <w:sz w:val="28"/>
          <w:b/>
        </w:rPr>
        <w:t>汉中市南郑区小南海镇人民政府</w:t>
      </w:r>
    </w:p>
    <w:p>
      <w:pPr>
        <w:pStyle w:val="null3"/>
        <w:jc w:val="center"/>
        <w:outlineLvl w:val="2"/>
      </w:pPr>
      <w:r>
        <w:rPr>
          <w:rFonts w:ascii="仿宋_GB2312" w:hAnsi="仿宋_GB2312" w:cs="仿宋_GB2312" w:eastAsia="仿宋_GB2312"/>
          <w:sz w:val="28"/>
          <w:b/>
        </w:rPr>
        <w:t>中拓达建项目管理有限公司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中拓达建项目管理有限公司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汉中市南郑区小南海镇人民政府</w:t>
      </w:r>
      <w:r>
        <w:rPr>
          <w:rFonts w:ascii="仿宋_GB2312" w:hAnsi="仿宋_GB2312" w:cs="仿宋_GB2312" w:eastAsia="仿宋_GB2312"/>
        </w:rPr>
        <w:t>委托，拟对</w:t>
      </w:r>
      <w:r>
        <w:rPr>
          <w:rFonts w:ascii="仿宋_GB2312" w:hAnsi="仿宋_GB2312" w:cs="仿宋_GB2312" w:eastAsia="仿宋_GB2312"/>
        </w:rPr>
        <w:t>2025年度小南海镇黄家山村烟区产业道路硬化项目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ZTDJ-HZCG-20251013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2025年度小南海镇黄家山村烟区产业道路硬化项目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黄家山村一组上段水井湾至杨叉地共640米，下段公房堡至吴家塘560米，全长共计1.2公里生产道路进行水泥路面硬化，路基宽4.5米，砼路面3.5米，厚度18厘米，具体建设内容以工程量清单描述为准。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采购包1（合同包1）：属于专门面向中小企业采购。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2、项目经理要求：拟派项目经理须具备公路工程专业二级（含二级）以上注册建造师资格和安全生产考核合格B证，且无在建项目</w:t>
      </w:r>
    </w:p>
    <w:p>
      <w:pPr>
        <w:pStyle w:val="null3"/>
      </w:pPr>
      <w:r>
        <w:rPr>
          <w:rFonts w:ascii="仿宋_GB2312" w:hAnsi="仿宋_GB2312" w:cs="仿宋_GB2312" w:eastAsia="仿宋_GB2312"/>
        </w:rPr>
        <w:t>3、法定代表人授权书：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汉中市南郑区小南海镇人民政府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小南海镇郑家坝村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0916—5455504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中拓达建项目管理有限公司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汉中市汉台区海德理想城西门临街商铺二楼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郭凌云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15771668755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开户名称：中拓达建项目管理有限公司汉中分公司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银行账号：61050165910000001072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汉中市南郑区小南海镇人民政府</w:t>
      </w:r>
      <w:r>
        <w:rPr>
          <w:rFonts w:ascii="仿宋_GB2312" w:hAnsi="仿宋_GB2312" w:cs="仿宋_GB2312" w:eastAsia="仿宋_GB2312"/>
        </w:rPr>
        <w:t>和</w:t>
      </w:r>
      <w:r>
        <w:rPr>
          <w:rFonts w:ascii="仿宋_GB2312" w:hAnsi="仿宋_GB2312" w:cs="仿宋_GB2312" w:eastAsia="仿宋_GB2312"/>
        </w:rPr>
        <w:t>中拓达建项目管理有限公司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汉中市南郑区小南海镇人民政府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中拓达建项目管理有限公司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汉中市南郑区小南海镇人民政府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中拓达建项目管理有限公司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联系人：郭凌云</w:t>
      </w:r>
    </w:p>
    <w:p>
      <w:pPr>
        <w:pStyle w:val="null3"/>
      </w:pPr>
      <w:r>
        <w:rPr>
          <w:rFonts w:ascii="仿宋_GB2312" w:hAnsi="仿宋_GB2312" w:cs="仿宋_GB2312" w:eastAsia="仿宋_GB2312"/>
        </w:rPr>
        <w:t>联系电话：15771668755</w:t>
      </w:r>
    </w:p>
    <w:p>
      <w:pPr>
        <w:pStyle w:val="null3"/>
      </w:pPr>
      <w:r>
        <w:rPr>
          <w:rFonts w:ascii="仿宋_GB2312" w:hAnsi="仿宋_GB2312" w:cs="仿宋_GB2312" w:eastAsia="仿宋_GB2312"/>
        </w:rPr>
        <w:t>地址：汉中市汉台区海德理想城西门临街商铺二楼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764,740.00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2025年度小南海镇黄家山村烟区产业道路硬化项目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标的名称：2025年度小南海镇黄家山村烟区产业道路硬化项目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据建设方制定的建设要求,该路按照《小交通量农村公路工程技术标准》(JTG 2111-2019)规定的四级公路(Ⅱ类)标准进行设计，设计速度15km/h，路基宽度 4.5m，路面宽度 3.5m，水泥混凝土路面。</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1、工期：90日历天</w:t>
            </w:r>
          </w:p>
          <w:p>
            <w:pPr>
              <w:pStyle w:val="null3"/>
              <w:jc w:val="both"/>
            </w:pPr>
            <w:r>
              <w:rPr>
                <w:rFonts w:ascii="仿宋_GB2312" w:hAnsi="仿宋_GB2312" w:cs="仿宋_GB2312" w:eastAsia="仿宋_GB2312"/>
                <w:sz w:val="21"/>
              </w:rPr>
              <w:t>2、质保期：1年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贰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www.creditchina. gov.cn)“失信被执行人”、“重大税收违法案件当事人名单”中，也未列入“中国政府采购网”(www.ccgp.gov.cn)的“政府采购严重违法失信行为记录名单”;拟参与本项目磋商响应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响应文件封面 中小企业声明函 残疾人福利性单位声明函 报价函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磋商保证金缴纳凭证.docx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一、评审内容:供应商针对本项目编制完善的施工进度计划，内容包含:①施工进度计划横道图; ②进度计划保证措施 ;③工期保证措施。 二、评审标准 :1、完整性:方案必须全面，对评审内容中的各项要求有详细描述;2、可实施性:切合本项目实际情况，提出步清晰、合理的方案;3、针对性:方案能够紧扣项目实际情况，内容科学合理。 三、赋分标准(满分9.0分):①施工进度计划横道图:每完全满足一个评审标准得1.0分，满分3.0分;②进度计划保证措施:每完全满足一个评审标准得1.0分,满分3.0分;③工期保证措施:每完全满足一个评审标准得1.0分，满分3.0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1.施工进度计划.docx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一、评审内容:供应商针对本项目编制完善的质量保证措施，内容包含:①施工质量的检验制度;②确保质量的技术组织措施;③施工质量控制措施。 二、评审标准:1、完整性:方案必须全面，对评审内容中的各项要求有详细描述;2、可实施性:切合本项目实际情况，提出步清晰、合理的方案;3、针对性:方案能够紧扣项目实际情况，内容科学合理。 三、赋分标准(满分7.5分):①施工质量检验制度:每完全满足一个评审标准得0.5分，满分1.5分;②确保质量的技术组织措施:每完全满足一个评审标准得1分，满分3分;③施工质量控制措施:每完全满足一个评审标准得1分，满分3分;④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2.质量保证措施.docx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一、评审内容:供应商针对本项目编制完善的资源配置计划，内容包含:①劳动力资源配置计划;②施工机械设备投入计划;③主要施工材料供应计划。 二、评审标准:1、完整性:方案必须全面，对评审内容中的各项要求有详细描述;2、可实施性:切合本项目实际情况，提出步骤清晰、合理的方案;3、针对性:方案能够紧扣项目实际情况，内容科学合理。 三、赋分标准(满分 7.5 分):①劳动力资源配置计划:每完全满足一个评审标准得1分，满分3分;②施工机械设备投入计划:每完全满足一个评审标准得1分，满分3分;③主要施工材料供应计划:每完全满足一个评审标准得 0.5分，满分 1.5 分;④未提供者不得分。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3.资源配置计划.docx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一、评审内容:供应商针对本项目编制完整的安全施工措施，内容包含:①安全生产管理制度; ②安全施工措施;③安全应急预案;④安全生产教育。 二、评审标准:1、完整性:方案必须全面，对评审内容中的各项要求有详细描述;2、可实施性:切合本项目实际情况，提出步骤清晰、合理的方案;3、针对性:方案能够紧扣项目实际情况，内容科学合理。 三、赋分标准(满分9分):①安全生产管理制度:每完全满足一个评审标准得0.5分，满分1.5分; ②安全施工措施:每完全满足一个评审标准得1分，满分3分;③安全应急预案:每完全满足一个评审标准得1分，满分3分;④安全生产教育:每完全满足一个评审标准得 0.5分，满分 1.5分;⑤未提供者不得分。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4.安全施工措施.docx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 ①文明施工管理目标及技术措施;②文明施工现场管理:材料管理、防扰民措施。 二、评审标准:1、完整性:方案必须全面，对评审内容中的各项要求有详细描述;2、可实施性:切合本项目实际情况,提出步骤清晰、合理的方案;3、针对性:方案能够紧扣项目实际情况，内容科学合理。 三、赋分标准(满分6分):①文明施工管理目标及技术措施:每完全满足一个评审标准得1分，满分3分;②文明施工现场管理:每完全满足一个评审标准得1分，满分3分:③未提供者不得分。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5.文明施工措施.docx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一、评审内容:供应商针对本项目编制主要管理措施，内容包含:①成品保护措施;②季节性施工措施:③消防保卫措施;④环境保护措施。 二、评审标准 :1、完整性:方案必须全面,对评审内容中的各项要求有详细描述;2、可实施性:切合本项目实际情况，提出步清晰、合理的方案;3、针对性:方案能够紧扣项目实际情况，内容科学合理。 三、赋分标准(满分6分):①成品保护措施:每完全满足一个评审标准得0.5分，满分1.5分;②季节性施工措施:每完全满足一个评审标准得 0.5分，满分 1.5分;③消防保卫措施:每完全满足一个评审标准得0.5分，④环境保护措施:每完全满足满分 1.5分;一个评审标准得 0.5 分，满分 1.5 分;⑤未提供者不得分。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6.主要管理措施.docx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一、评审内容:供应商针对本项目编制完善的施工部署,内容包含: ①施工目标:成本目标、工期目标、质量目标;②施工准备:技术准备、材料准备、机械设备、机具准备; ③施工平面布置与安排。 二、评审标准 :1、完整性:方案必须全面,对评审内容中的各项要求有详细描述;2、可实施性:切合本项目实际情况，提出步清晰、合理的方案;3、针对性:方案能够紧扣项目实际情况，内容科学合理。 三、赋分标准(满分6分):(①施工目标:每完全满足一个评审标准得 0.5分，满分 1.5分; ②施工准备:每完全满足一个评审标准得 0.5 分，满分1.5分;③施工平面布置与安排:每完全满足一个评审标准得1分，满分3分;④未提供者不得分。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7.施工部署.docx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 ③施工质量通病防治措施。 二、评审标准: 1、完整性:方案必须全面,对评审内容中的各项要求有详细描述;2、可实施性:切合本项目实际情况，提出步骤清晰、合理的方案;3、针对性:方案能够紧扣项目实际情况，内容科学合理。 三、赋分标准(满分6分):①工程重难点及解决措施:每完全满足一个评审标准得1分，满分3分;②分部分项工程施工方法:每完全满足一个评审标准得 0.5分，满分 1.5分;③施工质量通病防治措施:每完全满足一个评审标准得 0.5分，满分1.5分;④未提供者不得分。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8.分部分项工程施工方案.docx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一、评审内容:供应商针对本项目编制科学的项目管理机构，内容包含: ①管理机构的配备计划; ②组织机构的岗位职责。 二、评审标准: 1、完整性:方案必须全面，对评审内容中的各项要求有详细描述;2、可实施性:切合本项目实际情况，提出步清晰、合理的方案;3、针对性:方案能够紧扣项目实际情况，内容科学合理。 三、赋分标准(满分 4.5分) ①管理机构的配备计划:每完全满足一个评审标准得1分，满分3分;②组织机构的岗位职责:每完全满足一个评审标准得 0.5分，满分 1.5分;未提供者不得分。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一、评审内容:结合本项目的实际，供应商应依据国家相关规定对工程质量编制保修方案，内容包含: ①维修措施;②保修责任;③保修承诺。 二、评审标准 :1、完整性:内容必须全面，对评审内容中的各项要求有详细描述;2、落实性:切合项目具体情况，提出责任明确、要求具体的方案;3、针对性:内容能够紧扣项目实际情况，内容科学合理。 三、赋分标准(满分 4.5 分):①维修措施:每完全满足一个评审标准得 0.5分，满分 1.5分;②保修责任:每完全满足一个评审标准得0.5分，满分1.5分;(③保修承诺:每完全满足一个评审标准得 0.5分，满分 1.5 分;④未提供者不得分。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9.保修方案.docx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 04月-至今)完成类似项目业绩(时间以中标通知书时间为准)每提供1个业绩得2分,此项最高得4分;(注:业绩评审需提供项目中标(成交)通知书及施工合同复印件，缺一无效);</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 上限为采购预算价，报价大于上限价视为无效标； 2. 以满足本次磋商文件要求的最低报价为评审基准价，其价格为满分； 3.不享有政策优惠条件的投标供应商报价得分 =（评审基准价 / 报价）×30； 4. 本项目为专门面向中小企业项目，不再执行价格评审优惠的扶持政策； 5. 为保证项目质量，供应商报价若低于招标采购预算的 80%，须对报价合理性及成本构成做书面说明（含分部分项工程成本分析），如未能提供有效证明，将被视为低于成本报价而报价无效。</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详见附件：1.施工进度计划.docx</w:t>
      </w:r>
    </w:p>
    <w:p>
      <w:pPr>
        <w:pStyle w:val="null3"/>
        <w:ind w:firstLine="960"/>
      </w:pPr>
      <w:r>
        <w:rPr>
          <w:rFonts w:ascii="仿宋_GB2312" w:hAnsi="仿宋_GB2312" w:cs="仿宋_GB2312" w:eastAsia="仿宋_GB2312"/>
        </w:rPr>
        <w:t>详见附件：2.质量保证措施.docx</w:t>
      </w:r>
    </w:p>
    <w:p>
      <w:pPr>
        <w:pStyle w:val="null3"/>
        <w:ind w:firstLine="960"/>
      </w:pPr>
      <w:r>
        <w:rPr>
          <w:rFonts w:ascii="仿宋_GB2312" w:hAnsi="仿宋_GB2312" w:cs="仿宋_GB2312" w:eastAsia="仿宋_GB2312"/>
        </w:rPr>
        <w:t>详见附件：3.资源配置计划.docx</w:t>
      </w:r>
    </w:p>
    <w:p>
      <w:pPr>
        <w:pStyle w:val="null3"/>
        <w:ind w:firstLine="960"/>
      </w:pPr>
      <w:r>
        <w:rPr>
          <w:rFonts w:ascii="仿宋_GB2312" w:hAnsi="仿宋_GB2312" w:cs="仿宋_GB2312" w:eastAsia="仿宋_GB2312"/>
        </w:rPr>
        <w:t>详见附件：4.安全施工措施.docx</w:t>
      </w:r>
    </w:p>
    <w:p>
      <w:pPr>
        <w:pStyle w:val="null3"/>
        <w:ind w:firstLine="960"/>
      </w:pPr>
      <w:r>
        <w:rPr>
          <w:rFonts w:ascii="仿宋_GB2312" w:hAnsi="仿宋_GB2312" w:cs="仿宋_GB2312" w:eastAsia="仿宋_GB2312"/>
        </w:rPr>
        <w:t>详见附件：5.文明施工措施.docx</w:t>
      </w:r>
    </w:p>
    <w:p>
      <w:pPr>
        <w:pStyle w:val="null3"/>
        <w:ind w:firstLine="960"/>
      </w:pPr>
      <w:r>
        <w:rPr>
          <w:rFonts w:ascii="仿宋_GB2312" w:hAnsi="仿宋_GB2312" w:cs="仿宋_GB2312" w:eastAsia="仿宋_GB2312"/>
        </w:rPr>
        <w:t>详见附件：6.主要管理措施.docx</w:t>
      </w:r>
    </w:p>
    <w:p>
      <w:pPr>
        <w:pStyle w:val="null3"/>
        <w:ind w:firstLine="960"/>
      </w:pPr>
      <w:r>
        <w:rPr>
          <w:rFonts w:ascii="仿宋_GB2312" w:hAnsi="仿宋_GB2312" w:cs="仿宋_GB2312" w:eastAsia="仿宋_GB2312"/>
        </w:rPr>
        <w:t>详见附件：7.施工部署.docx</w:t>
      </w:r>
    </w:p>
    <w:p>
      <w:pPr>
        <w:pStyle w:val="null3"/>
        <w:ind w:firstLine="960"/>
      </w:pPr>
      <w:r>
        <w:rPr>
          <w:rFonts w:ascii="仿宋_GB2312" w:hAnsi="仿宋_GB2312" w:cs="仿宋_GB2312" w:eastAsia="仿宋_GB2312"/>
        </w:rPr>
        <w:t>详见附件：8.分部分项工程施工方案.docx</w:t>
      </w:r>
    </w:p>
    <w:p>
      <w:pPr>
        <w:pStyle w:val="null3"/>
        <w:ind w:firstLine="960"/>
      </w:pPr>
      <w:r>
        <w:rPr>
          <w:rFonts w:ascii="仿宋_GB2312" w:hAnsi="仿宋_GB2312" w:cs="仿宋_GB2312" w:eastAsia="仿宋_GB2312"/>
        </w:rPr>
        <w:t>详见附件：9.保修方案.docx</w:t>
      </w:r>
    </w:p>
    <w:p>
      <w:pPr>
        <w:pStyle w:val="null3"/>
        <w:ind w:firstLine="960"/>
      </w:pPr>
      <w:r>
        <w:rPr>
          <w:rFonts w:ascii="仿宋_GB2312" w:hAnsi="仿宋_GB2312" w:cs="仿宋_GB2312" w:eastAsia="仿宋_GB2312"/>
        </w:rPr>
        <w:t>详见附件：磋商保证金缴纳凭证.docx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