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版本号：TZZB-HZ-2025299C20251013001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2025年南郑区农村污水垃圾处理设施管理维护项目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TZZB-HZ-2025299C</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2025年南郑区农村污水垃圾处理设施管理维护项目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TZZB-HZ-2025299C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2025年南郑区农村污水垃圾处理设施管理维护项目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汉中市南郑区26座“AO+砂滤”组合工艺的村镇农村生活污水处理站的运营维护，总处理规模为630吨／天，出水水质执行《农村生活污水处理设施水污染物排放标准》（DB61／1227-2018）标准。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采购包1（农村污水垃圾处理设施管理维护）：属于专门面向中小企业采购。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陕西省汉中市南郑周家坪南环路8号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汉中市南郑区26座“AO+砂滤”组合工艺的村镇农村生活污水处理站的运营维护，总处理规模为630吨／天，出水水质执行《农村生活污水处理设施水污染物排放标准》（DB61／1227-2018）标准。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农村污水垃圾处理设施管理维护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标的名称：农村污水垃圾处理设施管理维护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1、项目基本情况</w:t>
            </w:r>
          </w:p>
          <w:p>
            <w:pPr>
              <w:pStyle w:val="null3"/>
              <w:ind w:firstLine="420"/>
              <w:jc w:val="both"/>
            </w:pPr>
            <w:r>
              <w:rPr>
                <w:rFonts w:ascii="仿宋_GB2312" w:hAnsi="仿宋_GB2312" w:cs="仿宋_GB2312" w:eastAsia="仿宋_GB2312"/>
                <w:sz w:val="21"/>
                <w:color w:val="000000"/>
              </w:rPr>
              <w:t>汉中市南郑区</w:t>
            </w:r>
            <w:r>
              <w:rPr>
                <w:rFonts w:ascii="仿宋_GB2312" w:hAnsi="仿宋_GB2312" w:cs="仿宋_GB2312" w:eastAsia="仿宋_GB2312"/>
                <w:sz w:val="21"/>
                <w:color w:val="000000"/>
              </w:rPr>
              <w:t>26座“AO+砂滤”组合工艺的村镇农村生活污水处理站的运营维护，总处理规模为630吨／天，出水水质执行《农村生活污水处理设施水污染物排放标准》（DB61／1227-2018）标准。</w:t>
            </w:r>
          </w:p>
          <w:p>
            <w:pPr>
              <w:pStyle w:val="null3"/>
              <w:jc w:val="both"/>
            </w:pPr>
            <w:r>
              <w:rPr>
                <w:rFonts w:ascii="仿宋_GB2312" w:hAnsi="仿宋_GB2312" w:cs="仿宋_GB2312" w:eastAsia="仿宋_GB2312"/>
                <w:sz w:val="21"/>
                <w:b/>
                <w:color w:val="000000"/>
              </w:rPr>
              <w:t>2、服务内容及要求</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主要服务内容</w:t>
            </w:r>
          </w:p>
          <w:p>
            <w:pPr>
              <w:pStyle w:val="null3"/>
              <w:ind w:firstLine="420"/>
              <w:jc w:val="both"/>
            </w:pPr>
            <w:r>
              <w:rPr>
                <w:rFonts w:ascii="仿宋_GB2312" w:hAnsi="仿宋_GB2312" w:cs="仿宋_GB2312" w:eastAsia="仿宋_GB2312"/>
                <w:sz w:val="21"/>
                <w:color w:val="000000"/>
              </w:rPr>
              <w:t>采购包主要服务内容包括：</w:t>
            </w:r>
            <w:r>
              <w:rPr>
                <w:rFonts w:ascii="仿宋_GB2312" w:hAnsi="仿宋_GB2312" w:cs="仿宋_GB2312" w:eastAsia="仿宋_GB2312"/>
                <w:sz w:val="21"/>
                <w:color w:val="000000"/>
              </w:rPr>
              <w:t>26座村镇农村生活污水处理站的现场巡查、污水处理站设备设施的检修保养更换、淤泥抽吸清运与污泥处置、电器设备及管网维护、水质检测及监测、污水处理站运维所需电力、药剂等费用、各污水处理站进出口水质的日常自检（不低于每周一次，需提供日常自检报告）、各污水处理站进出口水质的第三方委托检测（每年不低于4次，提供有资质的第三方检测公司出具的检测报告，并根据需要完成上级各主管部门所需的数据填报）。</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绩效目标</w:t>
            </w:r>
          </w:p>
          <w:p>
            <w:pPr>
              <w:pStyle w:val="null3"/>
              <w:ind w:firstLine="420"/>
              <w:jc w:val="both"/>
            </w:pPr>
            <w:r>
              <w:rPr>
                <w:rFonts w:ascii="仿宋_GB2312" w:hAnsi="仿宋_GB2312" w:cs="仿宋_GB2312" w:eastAsia="仿宋_GB2312"/>
                <w:sz w:val="21"/>
                <w:color w:val="000000"/>
              </w:rPr>
              <w:t>绩效目标：完成</w:t>
            </w:r>
            <w:r>
              <w:rPr>
                <w:rFonts w:ascii="仿宋_GB2312" w:hAnsi="仿宋_GB2312" w:cs="仿宋_GB2312" w:eastAsia="仿宋_GB2312"/>
                <w:sz w:val="21"/>
                <w:color w:val="000000"/>
              </w:rPr>
              <w:t>45个生活污水处理站的运营维护工作，确保设备正常运行、出水水质达到《农村生活污水处理设施水污染物排放标准（DB61／1227-2018）》所规定的排放标准。采购包预算包含实现绩效目标及各类检测报告和数据上报所需的一切开支，运维期间不再增加额外费用。</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服务清单</w:t>
            </w:r>
          </w:p>
          <w:tbl>
            <w:tblPr>
              <w:tblInd w:type="dxa" w:w="1095"/>
              <w:tblBorders>
                <w:top w:val="none" w:color="000000" w:sz="4"/>
                <w:left w:val="none" w:color="000000" w:sz="4"/>
                <w:bottom w:val="none" w:color="000000" w:sz="4"/>
                <w:right w:val="none" w:color="000000" w:sz="4"/>
                <w:insideH w:val="none"/>
                <w:insideV w:val="none"/>
              </w:tblBorders>
            </w:tblPr>
            <w:tblGrid>
              <w:gridCol w:w="547"/>
              <w:gridCol w:w="711"/>
              <w:gridCol w:w="616"/>
              <w:gridCol w:w="679"/>
            </w:tblGrid>
            <w:tr>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站点序号</w:t>
                  </w:r>
                </w:p>
              </w:tc>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站点位置</w:t>
                  </w:r>
                </w:p>
              </w:tc>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站点规模</w:t>
                  </w:r>
                </w:p>
              </w:tc>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站点水处理工艺</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3组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7组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1组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4组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9组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10组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16组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陶家湾村</w:t>
                  </w:r>
                  <w:r>
                    <w:rPr>
                      <w:rFonts w:ascii="仿宋_GB2312" w:hAnsi="仿宋_GB2312" w:cs="仿宋_GB2312" w:eastAsia="仿宋_GB2312"/>
                      <w:sz w:val="21"/>
                      <w:color w:val="000000"/>
                    </w:rPr>
                    <w:t>11组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白家湾村一组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白家湾村二组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白家湾村四组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白家湾村六组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汉山村三组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汉山村二组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汉山村三组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赵家湾村五组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赵家湾村七组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赵家湾村十一组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岳树岭村一组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岳树岭村一组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岳树岭村四组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岳树岭村五组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岳树岭村五组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岳树岭村六组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岳树岭村七组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岳树岭村</w:t>
                  </w:r>
                  <w:r>
                    <w:rPr>
                      <w:rFonts w:ascii="仿宋_GB2312" w:hAnsi="仿宋_GB2312" w:cs="仿宋_GB2312" w:eastAsia="仿宋_GB2312"/>
                      <w:sz w:val="21"/>
                      <w:color w:val="000000"/>
                    </w:rPr>
                    <w:t>八</w:t>
                  </w:r>
                  <w:r>
                    <w:rPr>
                      <w:rFonts w:ascii="仿宋_GB2312" w:hAnsi="仿宋_GB2312" w:cs="仿宋_GB2312" w:eastAsia="仿宋_GB2312"/>
                      <w:sz w:val="21"/>
                      <w:color w:val="000000"/>
                    </w:rPr>
                    <w:t>组</w:t>
                  </w:r>
                </w:p>
              </w:tc>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/d</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AO+砂滤</w:t>
                  </w:r>
                </w:p>
              </w:tc>
            </w:tr>
          </w:tbl>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人员配置要求</w:t>
            </w:r>
          </w:p>
          <w:p>
            <w:pPr>
              <w:pStyle w:val="null3"/>
              <w:jc w:val="both"/>
            </w:pPr>
            <w:r>
              <w:rPr>
                <w:rFonts w:ascii="仿宋_GB2312" w:hAnsi="仿宋_GB2312" w:cs="仿宋_GB2312" w:eastAsia="仿宋_GB2312"/>
                <w:sz w:val="21"/>
                <w:color w:val="000000"/>
              </w:rPr>
              <w:t>运维服务所需定员工作人员不少以</w:t>
            </w:r>
            <w:r>
              <w:rPr>
                <w:rFonts w:ascii="仿宋_GB2312" w:hAnsi="仿宋_GB2312" w:cs="仿宋_GB2312" w:eastAsia="仿宋_GB2312"/>
                <w:sz w:val="21"/>
                <w:color w:val="000000"/>
              </w:rPr>
              <w:t>10人，其中固定值守人员不少于5人，运维人员不少于4人，管理人员不少于1人。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自合同签订之日起一年。本项目采取一次招标三年沿用、实行一年一考核一签合同的办法，合同期满前一个月，街道办将根据所提供服务的总体考核情况，决定是否续签后一年度合同。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正常运行两个周期后（15天，一个周期7天）</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验收合格后（第三方水质检测达标）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总服务方案 中小企业声明函 残疾人福利性单位声明函 标的清单 供应商应提交的相关资格证明材料 报价表 其他材料及供应商认为有必要说明、阐述的事项 响应函 监狱企业的证明文件 服务内容及要求应答表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总服务方案 中小企业声明函 残疾人福利性单位声明函 标的清单 供应商应提交的相关资格证明材料 报价表 其他材料及供应商认为有必要说明、阐述的事项 响应函 监狱企业的证明文件 服务内容及要求应答表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服务内容及要求应答表</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总服务方案 中小企业声明函 残疾人福利性单位声明函 标的清单 供应商应提交的相关资格证明材料 报价表 其他材料及供应商认为有必要说明、阐述的事项 响应函 监狱企业的证明文件 服务内容及要求应答表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运营及维护服务方案</w:t>
            </w:r>
          </w:p>
        </w:tc>
        <w:tc>
          <w:tcPr>
            <w:tcW w:type="dxa" w:w="2492"/>
          </w:tcPr>
          <w:p>
            <w:pPr>
              <w:pStyle w:val="null3"/>
            </w:pPr>
            <w:r>
              <w:rPr>
                <w:rFonts w:ascii="仿宋_GB2312" w:hAnsi="仿宋_GB2312" w:cs="仿宋_GB2312" w:eastAsia="仿宋_GB2312"/>
              </w:rPr>
              <w:t>供应商应提供完整的服务方案，磋商小组根据各供应商响应情况综合比较赋分。服务方案内容合理、全面、可行得7.1-10分；服务方案内容较合理、较全面、较可行得3.1-7分；服务方案内容基本合理、基本全面、基本可行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针对本项目重点难点分析及解决方案</w:t>
            </w:r>
          </w:p>
        </w:tc>
        <w:tc>
          <w:tcPr>
            <w:tcW w:type="dxa" w:w="2492"/>
          </w:tcPr>
          <w:p>
            <w:pPr>
              <w:pStyle w:val="null3"/>
            </w:pPr>
            <w:r>
              <w:rPr>
                <w:rFonts w:ascii="仿宋_GB2312" w:hAnsi="仿宋_GB2312" w:cs="仿宋_GB2312" w:eastAsia="仿宋_GB2312"/>
              </w:rPr>
              <w:t>正确识别本项目重点难点，分析全面具体透彻，解决对策合理可行的得7.1-10分；重点难点分析较全面，较具体透彻，解决对策较合理可行的得3.1-7分；重点难点分析基本全面，基本具体透彻，解决对策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质量管理机构健全，措施得当，目标可控，满足编制质量需求，编制合理得7.1-10分；较满足编制质量需求，编制较合理得3.1-7分；基本满足编制质量需求，编制基本合理得1-3分；分；无此项内容不得分。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各项安排合理、规范，措施得当，目标可控，满足编制进度需求得7.1-10分；较满足编制进度需求得3.1-7分；基本满足编制进度需求得1-3分；无此项内容不得分。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管理体系、制度</w:t>
            </w:r>
          </w:p>
        </w:tc>
        <w:tc>
          <w:tcPr>
            <w:tcW w:type="dxa" w:w="2492"/>
          </w:tcPr>
          <w:p>
            <w:pPr>
              <w:pStyle w:val="null3"/>
            </w:pPr>
            <w:r>
              <w:rPr>
                <w:rFonts w:ascii="仿宋_GB2312" w:hAnsi="仿宋_GB2312" w:cs="仿宋_GB2312" w:eastAsia="仿宋_GB2312"/>
              </w:rPr>
              <w:t>针对本项目有完善的管理体系，项目规划合理，管理制度合理、实施流程合理得7.1-10分；管理制度较合理、实施流程较合理得3.1-7分；管理制度基本合理、实施流程基本合理得1-3分；无此项内容不得分。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服务承诺及履约能力保证措</w:t>
            </w:r>
          </w:p>
        </w:tc>
        <w:tc>
          <w:tcPr>
            <w:tcW w:type="dxa" w:w="2492"/>
          </w:tcPr>
          <w:p>
            <w:pPr>
              <w:pStyle w:val="null3"/>
            </w:pPr>
            <w:r>
              <w:rPr>
                <w:rFonts w:ascii="仿宋_GB2312" w:hAnsi="仿宋_GB2312" w:cs="仿宋_GB2312" w:eastAsia="仿宋_GB2312"/>
              </w:rPr>
              <w:t>服务承诺及履约能力保证措施详细、具体得7.1-10分；服务承诺及履约能力保证措施较详细、较具体得3.1-7分；服务承诺及履约能力保证措施基本详细、基本具体得1-3分。无此项内容不得分。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突发状况应对措施</w:t>
            </w:r>
          </w:p>
        </w:tc>
        <w:tc>
          <w:tcPr>
            <w:tcW w:type="dxa" w:w="2492"/>
          </w:tcPr>
          <w:p>
            <w:pPr>
              <w:pStyle w:val="null3"/>
            </w:pPr>
            <w:r>
              <w:rPr>
                <w:rFonts w:ascii="仿宋_GB2312" w:hAnsi="仿宋_GB2312" w:cs="仿宋_GB2312" w:eastAsia="仿宋_GB2312"/>
              </w:rPr>
              <w:t>对于项目实施过程中出现突发状况，有具体可行的应对措施，确保项目顺利实施、保证项目质量并按时提交项目成果得7.1-10分；有较可行的应对措施得3.1-7分；有基本可行的应对措施得1-3分。无此项内容不得分。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根据供应商为本项目提供人员配备投入情况，从人数、结构、学历、专业、工作证明等方面，满足采购需求得7.1-10分；较满足采购需求得3.1-7分；基本满足采购需求得1-3分；无此项内容不得分。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运维设备</w:t>
            </w:r>
          </w:p>
        </w:tc>
        <w:tc>
          <w:tcPr>
            <w:tcW w:type="dxa" w:w="2492"/>
          </w:tcPr>
          <w:p>
            <w:pPr>
              <w:pStyle w:val="null3"/>
            </w:pPr>
            <w:r>
              <w:rPr>
                <w:rFonts w:ascii="仿宋_GB2312" w:hAnsi="仿宋_GB2312" w:cs="仿宋_GB2312" w:eastAsia="仿宋_GB2312"/>
              </w:rPr>
              <w:t>根据拟配备的设备，从科学性、先进性、质量和可靠性等方面进行综合赋分。配备合理得7.1-10分；配备较合理得3.1-7分；配备基本合理得1-3分；无此项内容不得分。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服务内容及要求应答表</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1、上限为采购预算价，即报价大于上限价视为无效响应；2、以满足本次磋商文件要求的最低报价为评审基准价，其价格为满分； 3、报价得分=（评审基准价/最终报价）×10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详见附件：服务内容及要求应答表</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