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版本号：DBGLZX-2025-0720251018001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南郑区国有黎坪林场2025年中央财政其他国土绿化项目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DBGLZX-2025-07</w:t>
      </w:r>
      <w:r>
        <w:br/>
      </w:r>
      <w:r>
        <w:br/>
      </w:r>
      <w:r>
        <w:br/>
      </w:r>
    </w:p>
    <w:p>
      <w:pPr>
        <w:pStyle w:val="null3"/>
        <w:jc w:val="center"/>
        <w:outlineLvl w:val="2"/>
      </w:pPr>
      <w:r>
        <w:rPr>
          <w:rFonts w:ascii="仿宋_GB2312" w:hAnsi="仿宋_GB2312" w:cs="仿宋_GB2312" w:eastAsia="仿宋_GB2312"/>
          <w:sz w:val="28"/>
          <w:b/>
        </w:rPr>
        <w:t>汉中市南郑区国有黎坪林场</w:t>
      </w:r>
    </w:p>
    <w:p>
      <w:pPr>
        <w:pStyle w:val="null3"/>
        <w:jc w:val="center"/>
        <w:outlineLvl w:val="2"/>
      </w:pPr>
      <w:r>
        <w:rPr>
          <w:rFonts w:ascii="仿宋_GB2312" w:hAnsi="仿宋_GB2312" w:cs="仿宋_GB2312" w:eastAsia="仿宋_GB2312"/>
          <w:sz w:val="28"/>
          <w:b/>
        </w:rPr>
        <w:t>大邦管理咨询有限公司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大邦管理咨询有限公司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汉中市南郑区国有黎坪林场</w:t>
      </w:r>
      <w:r>
        <w:rPr>
          <w:rFonts w:ascii="仿宋_GB2312" w:hAnsi="仿宋_GB2312" w:cs="仿宋_GB2312" w:eastAsia="仿宋_GB2312"/>
        </w:rPr>
        <w:t>委托，拟对</w:t>
      </w:r>
      <w:r>
        <w:rPr>
          <w:rFonts w:ascii="仿宋_GB2312" w:hAnsi="仿宋_GB2312" w:cs="仿宋_GB2312" w:eastAsia="仿宋_GB2312"/>
        </w:rPr>
        <w:t>南郑区国有黎坪林场2025年中央财政其他国土绿化项目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DBGLZX-2025-07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南郑区国有黎坪林场2025年中央财政其他国土绿化项目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南郑区国有黎坪林场2025年中央财政其他国土绿化项目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采购包1（南郑区国有黎坪林场2025年中央财政其他国土绿化项目）：属于专门面向中小企业采购。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2、法定代表人或授权委托书：法定代表人或负责人直接参与投标时需提供身份证复印件加盖公章，被授权人参与投标时需提供法定代表人或负责人授权委托书（附法定代表人或负责人及被授权人身份证复印件）</w:t>
      </w:r>
    </w:p>
    <w:p>
      <w:pPr>
        <w:pStyle w:val="null3"/>
      </w:pPr>
      <w:r>
        <w:rPr>
          <w:rFonts w:ascii="仿宋_GB2312" w:hAnsi="仿宋_GB2312" w:cs="仿宋_GB2312" w:eastAsia="仿宋_GB2312"/>
        </w:rPr>
        <w:t>3、信誉：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汉中市南郑区国有黎坪林场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汉中市南郑区黎坪镇元坝街38号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15332522655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大邦管理咨询有限公司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汉中市汉台区前进西路与西一环十字西南 200 米(天泓超市三楼）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0916-2112699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开户名称：大邦管理咨询有限公司</w:t>
            </w:r>
          </w:p>
          <w:p>
            <w:pPr>
              <w:pStyle w:val="null3"/>
            </w:pPr>
            <w:r>
              <w:rPr>
                <w:rFonts w:ascii="仿宋_GB2312" w:hAnsi="仿宋_GB2312" w:cs="仿宋_GB2312" w:eastAsia="仿宋_GB2312"/>
              </w:rPr>
              <w:t>开户银行：中国建设银行股份有限公司西安电子城支行</w:t>
            </w:r>
          </w:p>
          <w:p>
            <w:pPr>
              <w:pStyle w:val="null3"/>
            </w:pPr>
            <w:r>
              <w:rPr>
                <w:rFonts w:ascii="仿宋_GB2312" w:hAnsi="仿宋_GB2312" w:cs="仿宋_GB2312" w:eastAsia="仿宋_GB2312"/>
              </w:rPr>
              <w:t>银行账号：61050192380000001067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说明：缴纳履约保证金金额为合同价的10％；</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参照《国家计委关于印发&lt;招标代理服务收费管理暂行办法&gt;的通知》（计价格[2002]1980号）、发改价格〔2011〕534号文及《陕西省住房和城乡建设厅文件陕价行发【2014】88号》文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汉中市南郑区国有黎坪林场</w:t>
      </w:r>
      <w:r>
        <w:rPr>
          <w:rFonts w:ascii="仿宋_GB2312" w:hAnsi="仿宋_GB2312" w:cs="仿宋_GB2312" w:eastAsia="仿宋_GB2312"/>
        </w:rPr>
        <w:t>和</w:t>
      </w:r>
      <w:r>
        <w:rPr>
          <w:rFonts w:ascii="仿宋_GB2312" w:hAnsi="仿宋_GB2312" w:cs="仿宋_GB2312" w:eastAsia="仿宋_GB2312"/>
        </w:rPr>
        <w:t>大邦管理咨询有限公司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汉中市南郑区国有黎坪林场</w:t>
      </w:r>
      <w:r>
        <w:rPr>
          <w:rFonts w:ascii="仿宋_GB2312" w:hAnsi="仿宋_GB2312" w:cs="仿宋_GB2312" w:eastAsia="仿宋_GB2312"/>
        </w:rPr>
        <w:t>负责解释。除上述招标文件内容，其他内容由</w:t>
      </w:r>
      <w:r>
        <w:rPr>
          <w:rFonts w:ascii="仿宋_GB2312" w:hAnsi="仿宋_GB2312" w:cs="仿宋_GB2312" w:eastAsia="仿宋_GB2312"/>
        </w:rPr>
        <w:t>大邦管理咨询有限公司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汉中市南郑区国有黎坪林场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大邦管理咨询有限公司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大邦管理咨询有限公司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大邦管理咨询有限公司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大邦管理咨询有限公司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联系电话：0916-2112699</w:t>
      </w:r>
    </w:p>
    <w:p>
      <w:pPr>
        <w:pStyle w:val="null3"/>
      </w:pPr>
      <w:r>
        <w:rPr>
          <w:rFonts w:ascii="仿宋_GB2312" w:hAnsi="仿宋_GB2312" w:cs="仿宋_GB2312" w:eastAsia="仿宋_GB2312"/>
        </w:rPr>
        <w:t>地址：汉中市汉台区前进西路与西一环十字西南 200 米(天泓超市三楼）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黎坪林场项目区实施 10700 亩森林抚育，分布于南郑区国有黎坪林场 34 、35 、37 、47 林班范围内，共计 46 个小班；根据项目区内的林分类型、特点及作业措施要求，抚育方式确定为综合抚育，抚育方法确定为疏伐+修枝+ 割灌、生长伐+修枝+ 割灌、卫生伐+修枝+割灌三各方法。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3,210,000.00</w:t>
      </w:r>
    </w:p>
    <w:p>
      <w:pPr>
        <w:pStyle w:val="null3"/>
      </w:pPr>
      <w:r>
        <w:rPr>
          <w:rFonts w:ascii="仿宋_GB2312" w:hAnsi="仿宋_GB2312" w:cs="仿宋_GB2312" w:eastAsia="仿宋_GB2312"/>
        </w:rPr>
        <w:t>采购包最高限价（元）: 3,210,000.00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汉中市南郑区国有黎坪林场2025年中央财政其他国土绿化项目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标的名称：汉中市南郑区国有黎坪林场2025年中央财政其他国土绿化项目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ind w:right="105"/>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项目名称：</w:t>
            </w:r>
            <w:r>
              <w:rPr>
                <w:rFonts w:ascii="仿宋_GB2312" w:hAnsi="仿宋_GB2312" w:cs="仿宋_GB2312" w:eastAsia="仿宋_GB2312"/>
                <w:sz w:val="24"/>
                <w:color w:val="000000"/>
              </w:rPr>
              <w:t>南郑区国有黎坪林场</w:t>
            </w:r>
            <w:r>
              <w:rPr>
                <w:rFonts w:ascii="仿宋_GB2312" w:hAnsi="仿宋_GB2312" w:cs="仿宋_GB2312" w:eastAsia="仿宋_GB2312"/>
                <w:sz w:val="24"/>
                <w:color w:val="000000"/>
              </w:rPr>
              <w:t>2025年中央财政其他国土绿化项目</w:t>
            </w:r>
          </w:p>
          <w:p>
            <w:pPr>
              <w:pStyle w:val="null3"/>
              <w:spacing w:before="150"/>
              <w:ind w:right="105" w:firstLine="232"/>
              <w:jc w:val="left"/>
            </w:pPr>
            <w:r>
              <w:rPr>
                <w:rFonts w:ascii="仿宋_GB2312" w:hAnsi="仿宋_GB2312" w:cs="仿宋_GB2312" w:eastAsia="仿宋_GB2312"/>
                <w:sz w:val="24"/>
                <w:color w:val="000000"/>
              </w:rPr>
              <w:t>预算金额：</w:t>
            </w:r>
            <w:r>
              <w:rPr>
                <w:rFonts w:ascii="仿宋_GB2312" w:hAnsi="仿宋_GB2312" w:cs="仿宋_GB2312" w:eastAsia="仿宋_GB2312"/>
                <w:sz w:val="24"/>
                <w:color w:val="000000"/>
              </w:rPr>
              <w:t>3210000.00</w:t>
            </w:r>
            <w:r>
              <w:rPr>
                <w:rFonts w:ascii="仿宋_GB2312" w:hAnsi="仿宋_GB2312" w:cs="仿宋_GB2312" w:eastAsia="仿宋_GB2312"/>
                <w:sz w:val="24"/>
                <w:color w:val="000000"/>
              </w:rPr>
              <w:t>元</w:t>
            </w:r>
          </w:p>
          <w:p>
            <w:pPr>
              <w:pStyle w:val="null3"/>
              <w:spacing w:before="255"/>
              <w:jc w:val="left"/>
            </w:pPr>
            <w:r>
              <w:rPr>
                <w:rFonts w:ascii="仿宋_GB2312" w:hAnsi="仿宋_GB2312" w:cs="仿宋_GB2312" w:eastAsia="仿宋_GB2312"/>
                <w:sz w:val="24"/>
                <w:b/>
                <w:color w:val="000000"/>
              </w:rPr>
              <w:t>2、项目概况</w:t>
            </w:r>
          </w:p>
          <w:p>
            <w:pPr>
              <w:pStyle w:val="null3"/>
              <w:spacing w:before="180"/>
              <w:ind w:right="75" w:firstLine="464"/>
              <w:jc w:val="left"/>
            </w:pPr>
            <w:r>
              <w:rPr>
                <w:rFonts w:ascii="仿宋_GB2312" w:hAnsi="仿宋_GB2312" w:cs="仿宋_GB2312" w:eastAsia="仿宋_GB2312"/>
                <w:sz w:val="24"/>
                <w:color w:val="000000"/>
              </w:rPr>
              <w:t>黎坪林场项目区实施</w:t>
            </w:r>
            <w:r>
              <w:rPr>
                <w:rFonts w:ascii="仿宋_GB2312" w:hAnsi="仿宋_GB2312" w:cs="仿宋_GB2312" w:eastAsia="仿宋_GB2312"/>
                <w:sz w:val="24"/>
                <w:color w:val="000000"/>
              </w:rPr>
              <w:t>10700 亩森林抚育，分布于南郑区国有黎坪林场 34、35、37 、47林班范围内，共计46个小班；根据项目区内的林分类型、特点及作业措施要求，抚育方式确定为综合抚育，抚育方法确定为疏伐+修枝+ 割灌、生长伐+修枝+ 割灌、卫生伐+修枝+割灌三各方法。</w:t>
            </w:r>
          </w:p>
          <w:p>
            <w:pPr>
              <w:pStyle w:val="null3"/>
              <w:spacing w:before="180"/>
              <w:ind w:right="75"/>
              <w:jc w:val="left"/>
            </w:pPr>
            <w:r>
              <w:rPr>
                <w:rFonts w:ascii="仿宋_GB2312" w:hAnsi="仿宋_GB2312" w:cs="仿宋_GB2312" w:eastAsia="仿宋_GB2312"/>
                <w:sz w:val="24"/>
                <w:b/>
                <w:color w:val="000000"/>
              </w:rPr>
              <w:t>3、履行合同服务期限：签订合同后180天内完成且验收合格；</w:t>
            </w:r>
          </w:p>
          <w:p>
            <w:pPr>
              <w:pStyle w:val="null3"/>
              <w:spacing w:before="180"/>
              <w:ind w:right="75"/>
              <w:jc w:val="left"/>
            </w:pPr>
            <w:r>
              <w:rPr>
                <w:rFonts w:ascii="仿宋_GB2312" w:hAnsi="仿宋_GB2312" w:cs="仿宋_GB2312" w:eastAsia="仿宋_GB2312"/>
                <w:sz w:val="24"/>
                <w:b/>
                <w:color w:val="000000"/>
              </w:rPr>
              <w:t>4、作业区</w:t>
            </w:r>
          </w:p>
          <w:p>
            <w:pPr>
              <w:pStyle w:val="null3"/>
              <w:spacing w:before="180"/>
              <w:ind w:right="75"/>
              <w:jc w:val="left"/>
            </w:pPr>
            <w:r>
              <w:rPr>
                <w:rFonts w:ascii="仿宋_GB2312" w:hAnsi="仿宋_GB2312" w:cs="仿宋_GB2312" w:eastAsia="仿宋_GB2312"/>
                <w:sz w:val="24"/>
                <w:color w:val="000000"/>
              </w:rPr>
              <w:t>4.1 作业区选择</w:t>
            </w:r>
          </w:p>
          <w:p>
            <w:pPr>
              <w:pStyle w:val="null3"/>
              <w:spacing w:before="180"/>
              <w:ind w:right="75" w:firstLine="464"/>
              <w:jc w:val="left"/>
            </w:pPr>
            <w:r>
              <w:rPr>
                <w:rFonts w:ascii="仿宋_GB2312" w:hAnsi="仿宋_GB2312" w:cs="仿宋_GB2312" w:eastAsia="仿宋_GB2312"/>
                <w:sz w:val="24"/>
                <w:color w:val="000000"/>
              </w:rPr>
              <w:t>依据南郑区</w:t>
            </w:r>
            <w:r>
              <w:rPr>
                <w:rFonts w:ascii="仿宋_GB2312" w:hAnsi="仿宋_GB2312" w:cs="仿宋_GB2312" w:eastAsia="仿宋_GB2312"/>
                <w:sz w:val="24"/>
                <w:color w:val="000000"/>
              </w:rPr>
              <w:t>2021 年“林草综合监测数据”和 2023 年“国土三调数据” 等资料，通过现地踏查座谈等方式，确定国有黎坪林场项目区在林场34、35、37、47林班范围内实施。</w:t>
            </w:r>
          </w:p>
          <w:p>
            <w:pPr>
              <w:pStyle w:val="null3"/>
              <w:spacing w:before="180"/>
              <w:ind w:right="75"/>
              <w:jc w:val="center"/>
            </w:pPr>
            <w:r>
              <w:rPr>
                <w:rFonts w:ascii="仿宋_GB2312" w:hAnsi="仿宋_GB2312" w:cs="仿宋_GB2312" w:eastAsia="仿宋_GB2312"/>
                <w:sz w:val="24"/>
                <w:b/>
                <w:color w:val="000000"/>
              </w:rPr>
              <w:t>表</w:t>
            </w:r>
            <w:r>
              <w:rPr>
                <w:rFonts w:ascii="仿宋_GB2312" w:hAnsi="仿宋_GB2312" w:cs="仿宋_GB2312" w:eastAsia="仿宋_GB2312"/>
                <w:sz w:val="24"/>
                <w:b/>
                <w:color w:val="000000"/>
              </w:rPr>
              <w:t>4-1 森林抚育作业区小班区划表</w:t>
            </w:r>
          </w:p>
          <w:tbl>
            <w:tblPr>
              <w:tblBorders>
                <w:top w:val="none" w:color="000000" w:sz="4"/>
                <w:left w:val="none" w:color="000000" w:sz="4"/>
                <w:bottom w:val="none" w:color="000000" w:sz="4"/>
                <w:right w:val="none" w:color="000000" w:sz="4"/>
                <w:insideH w:val="none"/>
                <w:insideV w:val="none"/>
              </w:tblBorders>
            </w:tblPr>
            <w:tblGrid>
              <w:gridCol w:w="511"/>
              <w:gridCol w:w="282"/>
              <w:gridCol w:w="537"/>
              <w:gridCol w:w="628"/>
              <w:gridCol w:w="594"/>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2"/>
                      <w:color w:val="000000"/>
                    </w:rPr>
                    <w:t>林场</w:t>
                  </w:r>
                </w:p>
              </w:tc>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2"/>
                      <w:color w:val="000000"/>
                    </w:rPr>
                    <w:t>林班</w:t>
                  </w:r>
                </w:p>
              </w:tc>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2"/>
                      <w:color w:val="000000"/>
                    </w:rPr>
                    <w:t>小班数量（个）</w:t>
                  </w:r>
                </w:p>
              </w:tc>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2"/>
                      <w:color w:val="000000"/>
                    </w:rPr>
                    <w:t>小班面积（亩）</w:t>
                  </w:r>
                </w:p>
              </w:tc>
              <w:tc>
                <w:tcPr>
                  <w:tcW w:type="dxa" w:w="5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2"/>
                      <w:color w:val="000000"/>
                    </w:rPr>
                    <w:t>作业面积（亩）</w:t>
                  </w:r>
                </w:p>
              </w:tc>
            </w:tr>
            <w:tr>
              <w:tc>
                <w:tcPr>
                  <w:tcW w:type="dxa" w:w="7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4"/>
                      <w:color w:val="000000"/>
                    </w:rPr>
                    <w:t>小计</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4"/>
                      <w:color w:val="000000"/>
                    </w:rPr>
                    <w:t>46</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4"/>
                      <w:b/>
                      <w:color w:val="000000"/>
                    </w:rPr>
                    <w:t>11127</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4"/>
                      <w:b/>
                      <w:color w:val="000000"/>
                    </w:rPr>
                    <w:t>10700</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left"/>
                  </w:pPr>
                  <w:r>
                    <w:rPr>
                      <w:rFonts w:ascii="仿宋_GB2312" w:hAnsi="仿宋_GB2312" w:cs="仿宋_GB2312" w:eastAsia="仿宋_GB2312"/>
                      <w:sz w:val="24"/>
                      <w:color w:val="000000"/>
                    </w:rPr>
                    <w:t>国有黎坪林场</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4"/>
                      <w:color w:val="000000"/>
                    </w:rPr>
                    <w:t>34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4"/>
                      <w:color w:val="000000"/>
                    </w:rPr>
                    <w:t>12</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4"/>
                      <w:color w:val="000000"/>
                    </w:rPr>
                    <w:t>3109</w:t>
                  </w:r>
                </w:p>
              </w:tc>
              <w:tc>
                <w:tcPr>
                  <w:tcW w:type="dxa" w:w="5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4"/>
                      <w:color w:val="000000"/>
                    </w:rPr>
                    <w:t>2991</w:t>
                  </w:r>
                </w:p>
              </w:tc>
            </w:tr>
            <w:tr>
              <w:tc>
                <w:tcPr>
                  <w:tcW w:type="dxa" w:w="511"/>
                  <w:vMerge/>
                  <w:tcBorders>
                    <w:top w:val="none" w:color="000000" w:sz="4"/>
                    <w:left w:val="single" w:color="000000" w:sz="4"/>
                    <w:bottom w:val="single" w:color="000000" w:sz="4"/>
                    <w:right w:val="single" w:color="000000" w:sz="4"/>
                  </w:tcBorders>
                </w:tcP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4"/>
                      <w:color w:val="000000"/>
                    </w:rPr>
                    <w:t>35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4"/>
                      <w:color w:val="000000"/>
                    </w:rPr>
                    <w:t>10</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4"/>
                      <w:color w:val="000000"/>
                    </w:rPr>
                    <w:t>2514</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4"/>
                      <w:color w:val="000000"/>
                    </w:rPr>
                    <w:t>2416</w:t>
                  </w:r>
                </w:p>
              </w:tc>
            </w:tr>
            <w:tr>
              <w:tc>
                <w:tcPr>
                  <w:tcW w:type="dxa" w:w="511"/>
                  <w:vMerge/>
                  <w:tcBorders>
                    <w:top w:val="none" w:color="000000" w:sz="4"/>
                    <w:left w:val="single" w:color="000000" w:sz="4"/>
                    <w:bottom w:val="single" w:color="000000" w:sz="4"/>
                    <w:right w:val="single" w:color="000000" w:sz="4"/>
                  </w:tcBorders>
                </w:tcP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4"/>
                      <w:color w:val="000000"/>
                    </w:rPr>
                    <w:t>37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4"/>
                      <w:color w:val="000000"/>
                    </w:rPr>
                    <w:t>15</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4"/>
                      <w:color w:val="000000"/>
                    </w:rPr>
                    <w:t>3377</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4"/>
                      <w:color w:val="000000"/>
                    </w:rPr>
                    <w:t>3247</w:t>
                  </w:r>
                </w:p>
              </w:tc>
            </w:tr>
            <w:tr>
              <w:tc>
                <w:tcPr>
                  <w:tcW w:type="dxa" w:w="511"/>
                  <w:vMerge/>
                  <w:tcBorders>
                    <w:top w:val="none" w:color="000000" w:sz="4"/>
                    <w:left w:val="single" w:color="000000" w:sz="4"/>
                    <w:bottom w:val="single" w:color="000000" w:sz="4"/>
                    <w:right w:val="single" w:color="000000" w:sz="4"/>
                  </w:tcBorders>
                </w:tcP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4"/>
                      <w:color w:val="000000"/>
                    </w:rPr>
                    <w:t>47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4"/>
                      <w:color w:val="000000"/>
                    </w:rPr>
                    <w:t>9</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4"/>
                      <w:color w:val="000000"/>
                    </w:rPr>
                    <w:t>2127</w:t>
                  </w:r>
                </w:p>
              </w:tc>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75"/>
                    <w:jc w:val="center"/>
                  </w:pPr>
                  <w:r>
                    <w:rPr>
                      <w:rFonts w:ascii="仿宋_GB2312" w:hAnsi="仿宋_GB2312" w:cs="仿宋_GB2312" w:eastAsia="仿宋_GB2312"/>
                      <w:sz w:val="24"/>
                      <w:color w:val="000000"/>
                    </w:rPr>
                    <w:t>2046</w:t>
                  </w:r>
                </w:p>
              </w:tc>
            </w:tr>
          </w:tbl>
          <w:p>
            <w:pPr>
              <w:pStyle w:val="null3"/>
              <w:spacing w:before="180"/>
              <w:ind w:right="75"/>
              <w:jc w:val="left"/>
            </w:pPr>
            <w:r>
              <w:rPr>
                <w:rFonts w:ascii="仿宋_GB2312" w:hAnsi="仿宋_GB2312" w:cs="仿宋_GB2312" w:eastAsia="仿宋_GB2312"/>
                <w:sz w:val="24"/>
                <w:b/>
                <w:color w:val="000000"/>
              </w:rPr>
              <w:t>5、森林抚育内容及技术要点</w:t>
            </w:r>
          </w:p>
          <w:p>
            <w:pPr>
              <w:pStyle w:val="null3"/>
              <w:spacing w:before="180"/>
              <w:ind w:right="75"/>
              <w:jc w:val="left"/>
            </w:pPr>
            <w:r>
              <w:rPr>
                <w:rFonts w:ascii="仿宋_GB2312" w:hAnsi="仿宋_GB2312" w:cs="仿宋_GB2312" w:eastAsia="仿宋_GB2312"/>
                <w:sz w:val="24"/>
                <w:color w:val="000000"/>
              </w:rPr>
              <w:t>5.1 森林抚育</w:t>
            </w:r>
          </w:p>
          <w:p>
            <w:pPr>
              <w:pStyle w:val="null3"/>
              <w:spacing w:before="180"/>
              <w:ind w:right="75"/>
              <w:jc w:val="left"/>
            </w:pPr>
            <w:r>
              <w:rPr>
                <w:rFonts w:ascii="仿宋_GB2312" w:hAnsi="仿宋_GB2312" w:cs="仿宋_GB2312" w:eastAsia="仿宋_GB2312"/>
                <w:sz w:val="24"/>
                <w:color w:val="000000"/>
              </w:rPr>
              <w:t>5.1.1 抚育规模</w:t>
            </w:r>
          </w:p>
          <w:p>
            <w:pPr>
              <w:pStyle w:val="null3"/>
              <w:spacing w:before="180"/>
              <w:ind w:right="75" w:firstLine="464"/>
              <w:jc w:val="left"/>
            </w:pPr>
            <w:r>
              <w:rPr>
                <w:rFonts w:ascii="仿宋_GB2312" w:hAnsi="仿宋_GB2312" w:cs="仿宋_GB2312" w:eastAsia="仿宋_GB2312"/>
                <w:sz w:val="24"/>
                <w:color w:val="000000"/>
              </w:rPr>
              <w:t>南郑区</w:t>
            </w:r>
            <w:r>
              <w:rPr>
                <w:rFonts w:ascii="仿宋_GB2312" w:hAnsi="仿宋_GB2312" w:cs="仿宋_GB2312" w:eastAsia="仿宋_GB2312"/>
                <w:sz w:val="24"/>
                <w:color w:val="000000"/>
              </w:rPr>
              <w:t>2025 年中央财政其他国土绿化项目（森林抚育），黎坪林场项目区实施 10700 亩森林抚育，分布于南郑区国有黎坪林场 34 、35 、37 、47 林班范围内，共计 46 个小班；</w:t>
            </w:r>
          </w:p>
          <w:p>
            <w:pPr>
              <w:pStyle w:val="null3"/>
              <w:spacing w:before="180"/>
              <w:ind w:right="75"/>
              <w:jc w:val="left"/>
            </w:pPr>
            <w:r>
              <w:rPr>
                <w:rFonts w:ascii="仿宋_GB2312" w:hAnsi="仿宋_GB2312" w:cs="仿宋_GB2312" w:eastAsia="仿宋_GB2312"/>
                <w:sz w:val="24"/>
                <w:color w:val="000000"/>
              </w:rPr>
              <w:t>5.1.2 抚育对象</w:t>
            </w:r>
          </w:p>
          <w:p>
            <w:pPr>
              <w:pStyle w:val="null3"/>
              <w:spacing w:before="180"/>
              <w:ind w:right="75" w:firstLine="464"/>
              <w:jc w:val="left"/>
            </w:pPr>
            <w:r>
              <w:rPr>
                <w:rFonts w:ascii="仿宋_GB2312" w:hAnsi="仿宋_GB2312" w:cs="仿宋_GB2312" w:eastAsia="仿宋_GB2312"/>
                <w:sz w:val="24"/>
                <w:color w:val="000000"/>
              </w:rPr>
              <w:t>项目区优势树种为栎类、</w:t>
            </w:r>
            <w:r>
              <w:rPr>
                <w:rFonts w:ascii="仿宋_GB2312" w:hAnsi="仿宋_GB2312" w:cs="仿宋_GB2312" w:eastAsia="仿宋_GB2312"/>
                <w:sz w:val="24"/>
                <w:color w:val="000000"/>
              </w:rPr>
              <w:t>巴山松、华山松、阔杂，龄组为中龄林和幼龄林，郁闭度在</w:t>
            </w:r>
            <w:r>
              <w:rPr>
                <w:rFonts w:ascii="仿宋_GB2312" w:hAnsi="仿宋_GB2312" w:cs="仿宋_GB2312" w:eastAsia="仿宋_GB2312"/>
                <w:sz w:val="24"/>
                <w:color w:val="000000"/>
              </w:rPr>
              <w:t>0.75-0.85 之间。抚育对象主要为：林分密度过大或一个伐桩上萌生了多个个体，林木生长空间不足的林分；林下杂灌和藤本植物长势过旺，影响目的树种生长的林分。</w:t>
            </w:r>
          </w:p>
          <w:p>
            <w:pPr>
              <w:pStyle w:val="null3"/>
              <w:spacing w:before="180"/>
              <w:ind w:right="75"/>
              <w:jc w:val="left"/>
            </w:pPr>
            <w:r>
              <w:rPr>
                <w:rFonts w:ascii="仿宋_GB2312" w:hAnsi="仿宋_GB2312" w:cs="仿宋_GB2312" w:eastAsia="仿宋_GB2312"/>
                <w:sz w:val="24"/>
                <w:color w:val="000000"/>
              </w:rPr>
              <w:t>5.1.3 抚育方式方法</w:t>
            </w:r>
          </w:p>
          <w:p>
            <w:pPr>
              <w:pStyle w:val="null3"/>
              <w:spacing w:before="180"/>
              <w:ind w:right="75" w:firstLine="464"/>
              <w:jc w:val="left"/>
            </w:pPr>
            <w:r>
              <w:rPr>
                <w:rFonts w:ascii="仿宋_GB2312" w:hAnsi="仿宋_GB2312" w:cs="仿宋_GB2312" w:eastAsia="仿宋_GB2312"/>
                <w:sz w:val="24"/>
                <w:color w:val="000000"/>
              </w:rPr>
              <w:t>根据项目区内的林分类型、特点及作业措施要求，抚育方式确定为综合抚育，抚育方法确定为疏伐</w:t>
            </w:r>
            <w:r>
              <w:rPr>
                <w:rFonts w:ascii="仿宋_GB2312" w:hAnsi="仿宋_GB2312" w:cs="仿宋_GB2312" w:eastAsia="仿宋_GB2312"/>
                <w:sz w:val="24"/>
                <w:color w:val="000000"/>
              </w:rPr>
              <w:t>+修枝+ 割灌、生长伐+修枝+ 割灌、卫生伐+修枝+割灌三各方法。</w:t>
            </w:r>
          </w:p>
          <w:p>
            <w:pPr>
              <w:pStyle w:val="null3"/>
              <w:spacing w:before="180"/>
              <w:ind w:right="75"/>
              <w:jc w:val="left"/>
            </w:pPr>
            <w:r>
              <w:rPr>
                <w:rFonts w:ascii="仿宋_GB2312" w:hAnsi="仿宋_GB2312" w:cs="仿宋_GB2312" w:eastAsia="仿宋_GB2312"/>
                <w:sz w:val="24"/>
                <w:color w:val="000000"/>
              </w:rPr>
              <w:t>5.1.4 林分分类型抚育方式、方法</w:t>
            </w:r>
          </w:p>
          <w:p>
            <w:pPr>
              <w:pStyle w:val="null3"/>
              <w:spacing w:before="180"/>
              <w:ind w:right="75" w:firstLine="23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1）以栎类为优势树种的天然中龄混交林</w:t>
            </w:r>
          </w:p>
          <w:p>
            <w:pPr>
              <w:pStyle w:val="null3"/>
              <w:spacing w:before="180"/>
              <w:ind w:right="75" w:firstLine="464"/>
              <w:jc w:val="left"/>
            </w:pPr>
            <w:r>
              <w:rPr>
                <w:rFonts w:ascii="仿宋_GB2312" w:hAnsi="仿宋_GB2312" w:cs="仿宋_GB2312" w:eastAsia="仿宋_GB2312"/>
                <w:sz w:val="24"/>
                <w:color w:val="000000"/>
              </w:rPr>
              <w:t>1）优势树种：栎类</w:t>
            </w:r>
          </w:p>
          <w:p>
            <w:pPr>
              <w:pStyle w:val="null3"/>
              <w:spacing w:before="180"/>
              <w:ind w:right="75" w:firstLine="464"/>
              <w:jc w:val="left"/>
            </w:pPr>
            <w:r>
              <w:rPr>
                <w:rFonts w:ascii="仿宋_GB2312" w:hAnsi="仿宋_GB2312" w:cs="仿宋_GB2312" w:eastAsia="仿宋_GB2312"/>
                <w:sz w:val="24"/>
                <w:color w:val="000000"/>
              </w:rPr>
              <w:t>2）林分特点：优势树种明显，林木个体分化明显。部分区域林分密度较大，林木生长空间不足；林内杂灌和藤本植物长势过旺，林木枝条交叉重叠，通风透光情况较差。郁闭度 0.80-0.85。</w:t>
            </w:r>
          </w:p>
          <w:p>
            <w:pPr>
              <w:pStyle w:val="null3"/>
              <w:spacing w:before="180"/>
              <w:ind w:right="75" w:firstLine="464"/>
              <w:jc w:val="left"/>
            </w:pPr>
            <w:r>
              <w:rPr>
                <w:rFonts w:ascii="仿宋_GB2312" w:hAnsi="仿宋_GB2312" w:cs="仿宋_GB2312" w:eastAsia="仿宋_GB2312"/>
                <w:sz w:val="24"/>
                <w:color w:val="000000"/>
              </w:rPr>
              <w:t>3）林下灌木：林分内灌草盖度相对较高，结构与种类较为复杂，生长状况旺盛，多块状分布主要灌木植物为悬钩子、胡枝子、若竹等。</w:t>
            </w:r>
          </w:p>
          <w:p>
            <w:pPr>
              <w:pStyle w:val="null3"/>
              <w:spacing w:before="180"/>
              <w:ind w:right="75" w:firstLine="464"/>
              <w:jc w:val="left"/>
            </w:pPr>
            <w:r>
              <w:rPr>
                <w:rFonts w:ascii="仿宋_GB2312" w:hAnsi="仿宋_GB2312" w:cs="仿宋_GB2312" w:eastAsia="仿宋_GB2312"/>
                <w:sz w:val="24"/>
                <w:color w:val="000000"/>
              </w:rPr>
              <w:t>4）抚育方法：疏伐-修枝-割灌。</w:t>
            </w:r>
          </w:p>
          <w:p>
            <w:pPr>
              <w:pStyle w:val="null3"/>
              <w:spacing w:before="180"/>
              <w:ind w:right="75" w:firstLine="464"/>
              <w:jc w:val="left"/>
            </w:pPr>
            <w:r>
              <w:rPr>
                <w:rFonts w:ascii="仿宋_GB2312" w:hAnsi="仿宋_GB2312" w:cs="仿宋_GB2312" w:eastAsia="仿宋_GB2312"/>
                <w:sz w:val="24"/>
                <w:color w:val="000000"/>
              </w:rPr>
              <w:t>5）抚育目的：调整林分密度，提高林分质量，促使复层林形成，提高森林生态系统稳定性和抗逆性。</w:t>
            </w:r>
          </w:p>
          <w:p>
            <w:pPr>
              <w:pStyle w:val="null3"/>
              <w:spacing w:before="180"/>
              <w:ind w:right="75" w:firstLine="464"/>
              <w:jc w:val="left"/>
            </w:pPr>
            <w:r>
              <w:rPr>
                <w:rFonts w:ascii="仿宋_GB2312" w:hAnsi="仿宋_GB2312" w:cs="仿宋_GB2312" w:eastAsia="仿宋_GB2312"/>
                <w:sz w:val="24"/>
                <w:color w:val="000000"/>
              </w:rPr>
              <w:t>6）技术要点</w:t>
            </w:r>
          </w:p>
          <w:p>
            <w:pPr>
              <w:pStyle w:val="null3"/>
              <w:spacing w:before="180"/>
              <w:ind w:right="75"/>
              <w:jc w:val="left"/>
            </w:pPr>
            <w:r>
              <w:rPr>
                <w:rFonts w:ascii="仿宋_GB2312" w:hAnsi="仿宋_GB2312" w:cs="仿宋_GB2312" w:eastAsia="仿宋_GB2312"/>
                <w:sz w:val="24"/>
                <w:color w:val="000000"/>
              </w:rPr>
              <w:t>①疏伐</w:t>
            </w:r>
          </w:p>
          <w:p>
            <w:pPr>
              <w:pStyle w:val="null3"/>
              <w:spacing w:before="180"/>
              <w:ind w:right="75" w:firstLine="464"/>
              <w:jc w:val="left"/>
            </w:pPr>
            <w:r>
              <w:rPr>
                <w:rFonts w:ascii="仿宋_GB2312" w:hAnsi="仿宋_GB2312" w:cs="仿宋_GB2312" w:eastAsia="仿宋_GB2312"/>
                <w:sz w:val="24"/>
                <w:color w:val="000000"/>
              </w:rPr>
              <w:t>疏伐对象：伐除目标树周围</w:t>
            </w:r>
            <w:r>
              <w:rPr>
                <w:rFonts w:ascii="仿宋_GB2312" w:hAnsi="仿宋_GB2312" w:cs="仿宋_GB2312" w:eastAsia="仿宋_GB2312"/>
                <w:sz w:val="24"/>
                <w:color w:val="000000"/>
              </w:rPr>
              <w:t xml:space="preserve"> 1-1.5m 范围内影响目标树生长的被压木、不良木等；对于一个伐桩上萌生了多个个体的林木，伐除质量差、生长弱的个体；伐除林内的枯死木、濒死木、受害木、断头木等无培养前途的林木个体。</w:t>
            </w:r>
          </w:p>
          <w:p>
            <w:pPr>
              <w:pStyle w:val="null3"/>
              <w:spacing w:before="180"/>
              <w:ind w:right="75" w:firstLine="464"/>
              <w:jc w:val="left"/>
            </w:pPr>
            <w:r>
              <w:rPr>
                <w:rFonts w:ascii="仿宋_GB2312" w:hAnsi="仿宋_GB2312" w:cs="仿宋_GB2312" w:eastAsia="仿宋_GB2312"/>
                <w:sz w:val="24"/>
                <w:color w:val="000000"/>
              </w:rPr>
              <w:t>疏伐强度：株树强度</w:t>
            </w:r>
            <w:r>
              <w:rPr>
                <w:rFonts w:ascii="仿宋_GB2312" w:hAnsi="仿宋_GB2312" w:cs="仿宋_GB2312" w:eastAsia="仿宋_GB2312"/>
                <w:sz w:val="24"/>
                <w:color w:val="000000"/>
              </w:rPr>
              <w:t xml:space="preserve"> 18%-20% ，蓄积强度 7%-9%。</w:t>
            </w:r>
          </w:p>
          <w:p>
            <w:pPr>
              <w:pStyle w:val="null3"/>
              <w:spacing w:before="180"/>
              <w:ind w:right="75" w:firstLine="464"/>
              <w:jc w:val="left"/>
            </w:pPr>
            <w:r>
              <w:rPr>
                <w:rFonts w:ascii="仿宋_GB2312" w:hAnsi="仿宋_GB2312" w:cs="仿宋_GB2312" w:eastAsia="仿宋_GB2312"/>
                <w:sz w:val="24"/>
                <w:color w:val="000000"/>
              </w:rPr>
              <w:t>疏伐面积：</w:t>
            </w:r>
            <w:r>
              <w:rPr>
                <w:rFonts w:ascii="仿宋_GB2312" w:hAnsi="仿宋_GB2312" w:cs="仿宋_GB2312" w:eastAsia="仿宋_GB2312"/>
                <w:sz w:val="24"/>
                <w:color w:val="000000"/>
              </w:rPr>
              <w:t>6376 亩。</w:t>
            </w:r>
          </w:p>
          <w:p>
            <w:pPr>
              <w:pStyle w:val="null3"/>
              <w:spacing w:before="180"/>
              <w:ind w:right="75" w:firstLine="464"/>
              <w:jc w:val="left"/>
            </w:pPr>
            <w:r>
              <w:rPr>
                <w:rFonts w:ascii="仿宋_GB2312" w:hAnsi="仿宋_GB2312" w:cs="仿宋_GB2312" w:eastAsia="仿宋_GB2312"/>
                <w:sz w:val="24"/>
                <w:color w:val="000000"/>
              </w:rPr>
              <w:t>疏伐株树和疏伐蓄积：疏伐株树</w:t>
            </w:r>
            <w:r>
              <w:rPr>
                <w:rFonts w:ascii="仿宋_GB2312" w:hAnsi="仿宋_GB2312" w:cs="仿宋_GB2312" w:eastAsia="仿宋_GB2312"/>
                <w:sz w:val="24"/>
                <w:color w:val="000000"/>
              </w:rPr>
              <w:t xml:space="preserve"> 127353 株，疏伐蓄积2298m3。</w:t>
            </w:r>
          </w:p>
          <w:p>
            <w:pPr>
              <w:pStyle w:val="null3"/>
              <w:spacing w:before="180"/>
              <w:ind w:right="75"/>
              <w:jc w:val="left"/>
            </w:pPr>
            <w:r>
              <w:rPr>
                <w:rFonts w:ascii="仿宋_GB2312" w:hAnsi="仿宋_GB2312" w:cs="仿宋_GB2312" w:eastAsia="仿宋_GB2312"/>
                <w:sz w:val="24"/>
                <w:color w:val="000000"/>
              </w:rPr>
              <w:t>②修枝</w:t>
            </w:r>
          </w:p>
          <w:p>
            <w:pPr>
              <w:pStyle w:val="null3"/>
              <w:spacing w:before="180"/>
              <w:ind w:right="75" w:firstLine="464"/>
              <w:jc w:val="left"/>
            </w:pPr>
            <w:r>
              <w:rPr>
                <w:rFonts w:ascii="仿宋_GB2312" w:hAnsi="仿宋_GB2312" w:cs="仿宋_GB2312" w:eastAsia="仿宋_GB2312"/>
                <w:sz w:val="24"/>
                <w:color w:val="000000"/>
              </w:rPr>
              <w:t>采伐后，对保留的目标树以及影响目标树生长的其他树进行修枝。修枝主要是修去枯死枝及树冠下部</w:t>
            </w:r>
            <w:r>
              <w:rPr>
                <w:rFonts w:ascii="仿宋_GB2312" w:hAnsi="仿宋_GB2312" w:cs="仿宋_GB2312" w:eastAsia="仿宋_GB2312"/>
                <w:sz w:val="24"/>
                <w:color w:val="000000"/>
              </w:rPr>
              <w:t xml:space="preserve"> 1-2 轮活枝， 中龄林阶段最多修去树高1/2 以下的枝条，保留冠高比不低于 1/2 。修枝比例为 30%-40%。</w:t>
            </w:r>
          </w:p>
          <w:p>
            <w:pPr>
              <w:pStyle w:val="null3"/>
              <w:spacing w:before="180"/>
              <w:ind w:right="75"/>
              <w:jc w:val="left"/>
            </w:pPr>
            <w:r>
              <w:rPr>
                <w:rFonts w:ascii="仿宋_GB2312" w:hAnsi="仿宋_GB2312" w:cs="仿宋_GB2312" w:eastAsia="仿宋_GB2312"/>
                <w:sz w:val="24"/>
                <w:color w:val="000000"/>
              </w:rPr>
              <w:t>③割灌</w:t>
            </w:r>
          </w:p>
          <w:p>
            <w:pPr>
              <w:pStyle w:val="null3"/>
              <w:spacing w:before="180"/>
              <w:ind w:right="75" w:firstLine="464"/>
              <w:jc w:val="left"/>
            </w:pPr>
            <w:r>
              <w:rPr>
                <w:rFonts w:ascii="仿宋_GB2312" w:hAnsi="仿宋_GB2312" w:cs="仿宋_GB2312" w:eastAsia="仿宋_GB2312"/>
                <w:sz w:val="24"/>
                <w:color w:val="000000"/>
              </w:rPr>
              <w:t>以目标树的幼苗幼树为中心，割除其周围</w:t>
            </w:r>
            <w:r>
              <w:rPr>
                <w:rFonts w:ascii="仿宋_GB2312" w:hAnsi="仿宋_GB2312" w:cs="仿宋_GB2312" w:eastAsia="仿宋_GB2312"/>
                <w:sz w:val="24"/>
                <w:color w:val="000000"/>
              </w:rPr>
              <w:t>1.5m 范围内影响其生长的杂灌和藤本植物，进行局部割灌，避免全面割灌。割灌强度为30%。</w:t>
            </w:r>
          </w:p>
          <w:p>
            <w:pPr>
              <w:pStyle w:val="null3"/>
              <w:spacing w:before="180"/>
              <w:ind w:right="75" w:firstLine="46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2）以巴山松为优势树种的人工中龄混交林</w:t>
            </w:r>
          </w:p>
          <w:p>
            <w:pPr>
              <w:pStyle w:val="null3"/>
              <w:spacing w:before="180"/>
              <w:ind w:right="75" w:firstLine="464"/>
              <w:jc w:val="left"/>
            </w:pPr>
            <w:r>
              <w:rPr>
                <w:rFonts w:ascii="仿宋_GB2312" w:hAnsi="仿宋_GB2312" w:cs="仿宋_GB2312" w:eastAsia="仿宋_GB2312"/>
                <w:sz w:val="24"/>
                <w:color w:val="000000"/>
              </w:rPr>
              <w:t>1）优势树种：巴山松</w:t>
            </w:r>
          </w:p>
          <w:p>
            <w:pPr>
              <w:pStyle w:val="null3"/>
              <w:spacing w:before="180"/>
              <w:ind w:right="75" w:firstLine="464"/>
              <w:jc w:val="left"/>
            </w:pPr>
            <w:r>
              <w:rPr>
                <w:rFonts w:ascii="仿宋_GB2312" w:hAnsi="仿宋_GB2312" w:cs="仿宋_GB2312" w:eastAsia="仿宋_GB2312"/>
                <w:sz w:val="24"/>
                <w:color w:val="000000"/>
              </w:rPr>
              <w:t>2）林分特点：优势树种明显，林木个体分化明显。小班内存在因自然灾害原因的枯死木、濒死木和受害木。林分平均胸径 12.4cm-13.6cm，平均高度 10m-11m ，林分密度 100-112 株/亩，郁闭度 0.75-0.85。</w:t>
            </w:r>
          </w:p>
          <w:p>
            <w:pPr>
              <w:pStyle w:val="null3"/>
              <w:spacing w:before="180"/>
              <w:ind w:right="75" w:firstLine="464"/>
              <w:jc w:val="left"/>
            </w:pPr>
            <w:r>
              <w:rPr>
                <w:rFonts w:ascii="仿宋_GB2312" w:hAnsi="仿宋_GB2312" w:cs="仿宋_GB2312" w:eastAsia="仿宋_GB2312"/>
                <w:sz w:val="24"/>
                <w:color w:val="000000"/>
              </w:rPr>
              <w:t>3）林下灌木：林分内灌木盖度相对较高，结构与种类较为复杂，生长状况旺盛，多块状分布，平均盖度40% ，高度在 1.0m-2.0m ，主要灌木植物为忍冬、胡枝子、若竹等，主要藤本植物有葛藤等。</w:t>
            </w:r>
          </w:p>
          <w:p>
            <w:pPr>
              <w:pStyle w:val="null3"/>
              <w:spacing w:before="180"/>
              <w:ind w:right="75" w:firstLine="464"/>
              <w:jc w:val="left"/>
            </w:pPr>
            <w:r>
              <w:rPr>
                <w:rFonts w:ascii="仿宋_GB2312" w:hAnsi="仿宋_GB2312" w:cs="仿宋_GB2312" w:eastAsia="仿宋_GB2312"/>
                <w:sz w:val="24"/>
                <w:color w:val="000000"/>
              </w:rPr>
              <w:t>4）抚育方法：卫生伐-修枝-割灌</w:t>
            </w:r>
          </w:p>
          <w:p>
            <w:pPr>
              <w:pStyle w:val="null3"/>
              <w:spacing w:before="180"/>
              <w:ind w:right="75" w:firstLine="464"/>
              <w:jc w:val="left"/>
            </w:pPr>
            <w:r>
              <w:rPr>
                <w:rFonts w:ascii="仿宋_GB2312" w:hAnsi="仿宋_GB2312" w:cs="仿宋_GB2312" w:eastAsia="仿宋_GB2312"/>
                <w:sz w:val="24"/>
                <w:color w:val="000000"/>
              </w:rPr>
              <w:t>5）抚育目的：调整林分密度，提高林分质量，促使复层林形成，提高森林生态系统稳定性和抗逆性。</w:t>
            </w:r>
          </w:p>
          <w:p>
            <w:pPr>
              <w:pStyle w:val="null3"/>
              <w:spacing w:before="180"/>
              <w:ind w:right="75" w:firstLine="464"/>
              <w:jc w:val="left"/>
            </w:pPr>
            <w:r>
              <w:rPr>
                <w:rFonts w:ascii="仿宋_GB2312" w:hAnsi="仿宋_GB2312" w:cs="仿宋_GB2312" w:eastAsia="仿宋_GB2312"/>
                <w:sz w:val="24"/>
                <w:color w:val="000000"/>
              </w:rPr>
              <w:t>6）技术要点</w:t>
            </w:r>
          </w:p>
          <w:p>
            <w:pPr>
              <w:pStyle w:val="null3"/>
              <w:spacing w:before="180"/>
              <w:ind w:right="75"/>
              <w:jc w:val="left"/>
            </w:pPr>
            <w:r>
              <w:rPr>
                <w:rFonts w:ascii="仿宋_GB2312" w:hAnsi="仿宋_GB2312" w:cs="仿宋_GB2312" w:eastAsia="仿宋_GB2312"/>
                <w:sz w:val="24"/>
                <w:color w:val="000000"/>
              </w:rPr>
              <w:t>①卫生伐</w:t>
            </w:r>
          </w:p>
          <w:p>
            <w:pPr>
              <w:pStyle w:val="null3"/>
              <w:spacing w:before="180"/>
              <w:ind w:right="75" w:firstLine="464"/>
              <w:jc w:val="left"/>
            </w:pPr>
            <w:r>
              <w:rPr>
                <w:rFonts w:ascii="仿宋_GB2312" w:hAnsi="仿宋_GB2312" w:cs="仿宋_GB2312" w:eastAsia="仿宋_GB2312"/>
                <w:sz w:val="24"/>
                <w:color w:val="000000"/>
              </w:rPr>
              <w:t>卫生伐对象：伐除林内的枯死木、濒死木、受害木、病腐木、断头木、不良木等无培养前途的林木个体。</w:t>
            </w:r>
          </w:p>
          <w:p>
            <w:pPr>
              <w:pStyle w:val="null3"/>
              <w:spacing w:before="180"/>
              <w:ind w:right="75" w:firstLine="464"/>
              <w:jc w:val="left"/>
            </w:pPr>
            <w:r>
              <w:rPr>
                <w:rFonts w:ascii="仿宋_GB2312" w:hAnsi="仿宋_GB2312" w:cs="仿宋_GB2312" w:eastAsia="仿宋_GB2312"/>
                <w:sz w:val="24"/>
                <w:color w:val="000000"/>
              </w:rPr>
              <w:t>卫生伐强度：株树强度</w:t>
            </w:r>
            <w:r>
              <w:rPr>
                <w:rFonts w:ascii="仿宋_GB2312" w:hAnsi="仿宋_GB2312" w:cs="仿宋_GB2312" w:eastAsia="仿宋_GB2312"/>
                <w:sz w:val="24"/>
                <w:color w:val="000000"/>
              </w:rPr>
              <w:t xml:space="preserve"> 12%-14% ，蓄积强度 7%-9%。</w:t>
            </w:r>
          </w:p>
          <w:p>
            <w:pPr>
              <w:pStyle w:val="null3"/>
              <w:spacing w:before="180"/>
              <w:ind w:right="75" w:firstLine="464"/>
              <w:jc w:val="left"/>
            </w:pPr>
            <w:r>
              <w:rPr>
                <w:rFonts w:ascii="仿宋_GB2312" w:hAnsi="仿宋_GB2312" w:cs="仿宋_GB2312" w:eastAsia="仿宋_GB2312"/>
                <w:sz w:val="24"/>
                <w:color w:val="000000"/>
              </w:rPr>
              <w:t>卫生伐面积：</w:t>
            </w:r>
            <w:r>
              <w:rPr>
                <w:rFonts w:ascii="仿宋_GB2312" w:hAnsi="仿宋_GB2312" w:cs="仿宋_GB2312" w:eastAsia="仿宋_GB2312"/>
                <w:sz w:val="24"/>
                <w:color w:val="000000"/>
              </w:rPr>
              <w:t>421 亩。</w:t>
            </w:r>
          </w:p>
          <w:p>
            <w:pPr>
              <w:pStyle w:val="null3"/>
              <w:spacing w:before="180"/>
              <w:ind w:right="75" w:firstLine="464"/>
              <w:jc w:val="left"/>
            </w:pPr>
            <w:r>
              <w:rPr>
                <w:rFonts w:ascii="仿宋_GB2312" w:hAnsi="仿宋_GB2312" w:cs="仿宋_GB2312" w:eastAsia="仿宋_GB2312"/>
                <w:sz w:val="24"/>
                <w:color w:val="000000"/>
              </w:rPr>
              <w:t>卫生伐株树和卫生伐蓄积：卫生伐株树</w:t>
            </w:r>
            <w:r>
              <w:rPr>
                <w:rFonts w:ascii="仿宋_GB2312" w:hAnsi="仿宋_GB2312" w:cs="仿宋_GB2312" w:eastAsia="仿宋_GB2312"/>
                <w:sz w:val="24"/>
                <w:color w:val="000000"/>
              </w:rPr>
              <w:t xml:space="preserve"> 4326 株，卫生伐蓄积 168</w:t>
            </w:r>
            <w:r>
              <w:rPr>
                <w:rFonts w:ascii="仿宋_GB2312" w:hAnsi="仿宋_GB2312" w:cs="仿宋_GB2312" w:eastAsia="仿宋_GB2312"/>
                <w:sz w:val="24"/>
                <w:color w:val="000000"/>
              </w:rPr>
              <w:t>m³</w:t>
            </w:r>
            <w:r>
              <w:rPr>
                <w:rFonts w:ascii="仿宋_GB2312" w:hAnsi="仿宋_GB2312" w:cs="仿宋_GB2312" w:eastAsia="仿宋_GB2312"/>
                <w:sz w:val="24"/>
                <w:color w:val="000000"/>
              </w:rPr>
              <w:t>。</w:t>
            </w:r>
          </w:p>
          <w:p>
            <w:pPr>
              <w:pStyle w:val="null3"/>
              <w:spacing w:before="180"/>
              <w:ind w:right="75" w:firstLine="464"/>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②修枝</w:t>
            </w:r>
          </w:p>
          <w:p>
            <w:pPr>
              <w:pStyle w:val="null3"/>
              <w:spacing w:before="180"/>
              <w:ind w:right="75" w:firstLine="464"/>
              <w:jc w:val="left"/>
            </w:pPr>
            <w:r>
              <w:rPr>
                <w:rFonts w:ascii="仿宋_GB2312" w:hAnsi="仿宋_GB2312" w:cs="仿宋_GB2312" w:eastAsia="仿宋_GB2312"/>
                <w:sz w:val="24"/>
                <w:color w:val="000000"/>
              </w:rPr>
              <w:t>采伐后，对保留的目标树以及影响目标树生长的其他树进行修枝。修枝主要是修去枯死枝及树冠下部</w:t>
            </w:r>
            <w:r>
              <w:rPr>
                <w:rFonts w:ascii="仿宋_GB2312" w:hAnsi="仿宋_GB2312" w:cs="仿宋_GB2312" w:eastAsia="仿宋_GB2312"/>
                <w:sz w:val="24"/>
                <w:color w:val="000000"/>
              </w:rPr>
              <w:t xml:space="preserve"> 1-2 轮活枝，中龄林阶段最多修去树高1/2 以下的枝条，保留冠高比不低于 1/2 。修枝比例为40%。</w:t>
            </w:r>
          </w:p>
          <w:p>
            <w:pPr>
              <w:pStyle w:val="null3"/>
              <w:spacing w:before="180"/>
              <w:ind w:right="75" w:firstLine="464"/>
              <w:jc w:val="left"/>
            </w:pPr>
            <w:r>
              <w:rPr>
                <w:rFonts w:ascii="仿宋_GB2312" w:hAnsi="仿宋_GB2312" w:cs="仿宋_GB2312" w:eastAsia="仿宋_GB2312"/>
                <w:sz w:val="24"/>
                <w:color w:val="000000"/>
              </w:rPr>
              <w:t>③割灌</w:t>
            </w:r>
          </w:p>
          <w:p>
            <w:pPr>
              <w:pStyle w:val="null3"/>
              <w:spacing w:before="180"/>
              <w:ind w:right="75" w:firstLine="464"/>
              <w:jc w:val="left"/>
            </w:pPr>
            <w:r>
              <w:rPr>
                <w:rFonts w:ascii="仿宋_GB2312" w:hAnsi="仿宋_GB2312" w:cs="仿宋_GB2312" w:eastAsia="仿宋_GB2312"/>
                <w:sz w:val="24"/>
                <w:color w:val="000000"/>
              </w:rPr>
              <w:t>以目标树为中心，割除其周围</w:t>
            </w:r>
            <w:r>
              <w:rPr>
                <w:rFonts w:ascii="仿宋_GB2312" w:hAnsi="仿宋_GB2312" w:cs="仿宋_GB2312" w:eastAsia="仿宋_GB2312"/>
                <w:sz w:val="24"/>
                <w:color w:val="000000"/>
              </w:rPr>
              <w:t>1.5m 范围内影响其生长的杂灌和藤本植物，进行局部割灌，避免全面割灌。割灌强度为20%-30%。</w:t>
            </w:r>
          </w:p>
          <w:p>
            <w:pPr>
              <w:pStyle w:val="null3"/>
              <w:spacing w:before="180"/>
              <w:ind w:right="75" w:firstLine="464"/>
              <w:jc w:val="left"/>
            </w:pPr>
            <w:r>
              <w:rPr>
                <w:rFonts w:ascii="仿宋_GB2312" w:hAnsi="仿宋_GB2312" w:cs="仿宋_GB2312" w:eastAsia="仿宋_GB2312"/>
                <w:sz w:val="24"/>
                <w:color w:val="000000"/>
              </w:rPr>
              <w:t>因伐后林中空地面积小于</w:t>
            </w:r>
            <w:r>
              <w:rPr>
                <w:rFonts w:ascii="仿宋_GB2312" w:hAnsi="仿宋_GB2312" w:cs="仿宋_GB2312" w:eastAsia="仿宋_GB2312"/>
                <w:sz w:val="24"/>
                <w:color w:val="000000"/>
              </w:rPr>
              <w:t>25 平方米，所以不需要补植。</w:t>
            </w:r>
          </w:p>
          <w:p>
            <w:pPr>
              <w:pStyle w:val="null3"/>
              <w:numPr>
                <w:ilvl w:val="0"/>
                <w:numId w:val="1"/>
              </w:numPr>
              <w:spacing w:before="180"/>
              <w:ind w:right="75"/>
              <w:jc w:val="left"/>
            </w:pPr>
            <w:r>
              <w:rPr>
                <w:rFonts w:ascii="仿宋_GB2312" w:hAnsi="仿宋_GB2312" w:cs="仿宋_GB2312" w:eastAsia="仿宋_GB2312"/>
                <w:sz w:val="24"/>
                <w:color w:val="000000"/>
              </w:rPr>
              <w:t>以巴山松为优势树种的天然中龄混交林</w:t>
            </w:r>
          </w:p>
          <w:p>
            <w:pPr>
              <w:pStyle w:val="null3"/>
              <w:spacing w:before="180"/>
              <w:ind w:right="75"/>
              <w:jc w:val="left"/>
            </w:pPr>
            <w:r>
              <w:rPr>
                <w:rFonts w:ascii="仿宋_GB2312" w:hAnsi="仿宋_GB2312" w:cs="仿宋_GB2312" w:eastAsia="仿宋_GB2312"/>
                <w:sz w:val="24"/>
                <w:color w:val="000000"/>
              </w:rPr>
              <w:t>1）优势树种：巴山松</w:t>
            </w:r>
          </w:p>
          <w:p>
            <w:pPr>
              <w:pStyle w:val="null3"/>
              <w:spacing w:before="180"/>
              <w:ind w:right="75" w:firstLine="464"/>
              <w:jc w:val="left"/>
            </w:pPr>
            <w:r>
              <w:rPr>
                <w:rFonts w:ascii="仿宋_GB2312" w:hAnsi="仿宋_GB2312" w:cs="仿宋_GB2312" w:eastAsia="仿宋_GB2312"/>
                <w:sz w:val="24"/>
                <w:color w:val="000000"/>
              </w:rPr>
              <w:t>2）林分特点：优势树种明显，林木个体分化明显，下层目的树种幼树较多，分布均匀。林分平均胸径 11.0cm-13.5cm ，平均高度 9.9m-10.7m，林分密度 100-112 株/亩，郁闭度 0.75-0.80。</w:t>
            </w:r>
          </w:p>
          <w:p>
            <w:pPr>
              <w:pStyle w:val="null3"/>
              <w:spacing w:before="180"/>
              <w:ind w:right="75" w:firstLine="464"/>
              <w:jc w:val="left"/>
            </w:pPr>
            <w:r>
              <w:rPr>
                <w:rFonts w:ascii="仿宋_GB2312" w:hAnsi="仿宋_GB2312" w:cs="仿宋_GB2312" w:eastAsia="仿宋_GB2312"/>
                <w:sz w:val="24"/>
                <w:color w:val="000000"/>
              </w:rPr>
              <w:t>3）林下灌木：林分内灌木盖度相对较低，多块状分布，平均盖度18%-25% ，高度在 1.0m-2.0m ，主要灌木植物为忍冬、胡枝子、竹子等，主要藤本植物有葛藤等。</w:t>
            </w:r>
          </w:p>
          <w:p>
            <w:pPr>
              <w:pStyle w:val="null3"/>
              <w:spacing w:before="180"/>
              <w:ind w:right="75" w:firstLine="464"/>
              <w:jc w:val="left"/>
            </w:pPr>
            <w:r>
              <w:rPr>
                <w:rFonts w:ascii="仿宋_GB2312" w:hAnsi="仿宋_GB2312" w:cs="仿宋_GB2312" w:eastAsia="仿宋_GB2312"/>
                <w:sz w:val="24"/>
                <w:color w:val="000000"/>
              </w:rPr>
              <w:t>4）抚育方法：生长伐-修枝-割灌</w:t>
            </w:r>
          </w:p>
          <w:p>
            <w:pPr>
              <w:pStyle w:val="null3"/>
              <w:spacing w:before="180"/>
              <w:ind w:right="75" w:firstLine="464"/>
              <w:jc w:val="left"/>
            </w:pPr>
            <w:r>
              <w:rPr>
                <w:rFonts w:ascii="仿宋_GB2312" w:hAnsi="仿宋_GB2312" w:cs="仿宋_GB2312" w:eastAsia="仿宋_GB2312"/>
                <w:sz w:val="24"/>
                <w:color w:val="000000"/>
              </w:rPr>
              <w:t>5）抚育目的：调整林分密度，提高林分质量，促使复层林形成，提高森林生态系统稳定性和抗逆性。</w:t>
            </w:r>
          </w:p>
          <w:p>
            <w:pPr>
              <w:pStyle w:val="null3"/>
              <w:spacing w:before="180"/>
              <w:ind w:right="75" w:firstLine="464"/>
              <w:jc w:val="left"/>
            </w:pPr>
            <w:r>
              <w:rPr>
                <w:rFonts w:ascii="仿宋_GB2312" w:hAnsi="仿宋_GB2312" w:cs="仿宋_GB2312" w:eastAsia="仿宋_GB2312"/>
                <w:sz w:val="24"/>
                <w:color w:val="000000"/>
              </w:rPr>
              <w:t>6）技术要点</w:t>
            </w:r>
          </w:p>
          <w:p>
            <w:pPr>
              <w:pStyle w:val="null3"/>
              <w:spacing w:before="180"/>
              <w:ind w:right="75" w:firstLine="464"/>
              <w:jc w:val="left"/>
            </w:pPr>
            <w:r>
              <w:rPr>
                <w:rFonts w:ascii="仿宋_GB2312" w:hAnsi="仿宋_GB2312" w:cs="仿宋_GB2312" w:eastAsia="仿宋_GB2312"/>
                <w:sz w:val="24"/>
                <w:color w:val="000000"/>
              </w:rPr>
              <w:t>①生长伐</w:t>
            </w:r>
          </w:p>
          <w:p>
            <w:pPr>
              <w:pStyle w:val="null3"/>
              <w:spacing w:before="180"/>
              <w:ind w:right="75" w:firstLine="464"/>
              <w:jc w:val="left"/>
            </w:pPr>
            <w:r>
              <w:rPr>
                <w:rFonts w:ascii="仿宋_GB2312" w:hAnsi="仿宋_GB2312" w:cs="仿宋_GB2312" w:eastAsia="仿宋_GB2312"/>
                <w:sz w:val="24"/>
                <w:color w:val="000000"/>
              </w:rPr>
              <w:t>生长伐对象：将干扰树、濒死木、受害木等清除，保留目标树、辅助树、其他树。</w:t>
            </w:r>
          </w:p>
          <w:p>
            <w:pPr>
              <w:pStyle w:val="null3"/>
              <w:spacing w:before="180"/>
              <w:ind w:right="75" w:firstLine="464"/>
              <w:jc w:val="left"/>
            </w:pPr>
            <w:r>
              <w:rPr>
                <w:rFonts w:ascii="仿宋_GB2312" w:hAnsi="仿宋_GB2312" w:cs="仿宋_GB2312" w:eastAsia="仿宋_GB2312"/>
                <w:sz w:val="24"/>
                <w:color w:val="000000"/>
              </w:rPr>
              <w:t>生长伐强度：株树强度</w:t>
            </w:r>
            <w:r>
              <w:rPr>
                <w:rFonts w:ascii="仿宋_GB2312" w:hAnsi="仿宋_GB2312" w:cs="仿宋_GB2312" w:eastAsia="仿宋_GB2312"/>
                <w:sz w:val="24"/>
                <w:color w:val="000000"/>
              </w:rPr>
              <w:t xml:space="preserve"> 12%-14% ，蓄积强度 7%-9%。</w:t>
            </w:r>
          </w:p>
          <w:p>
            <w:pPr>
              <w:pStyle w:val="null3"/>
              <w:spacing w:before="180"/>
              <w:ind w:right="75" w:firstLine="464"/>
              <w:jc w:val="left"/>
            </w:pPr>
            <w:r>
              <w:rPr>
                <w:rFonts w:ascii="仿宋_GB2312" w:hAnsi="仿宋_GB2312" w:cs="仿宋_GB2312" w:eastAsia="仿宋_GB2312"/>
                <w:sz w:val="24"/>
                <w:color w:val="000000"/>
              </w:rPr>
              <w:t>生长伐面积：</w:t>
            </w:r>
            <w:r>
              <w:rPr>
                <w:rFonts w:ascii="仿宋_GB2312" w:hAnsi="仿宋_GB2312" w:cs="仿宋_GB2312" w:eastAsia="仿宋_GB2312"/>
                <w:sz w:val="24"/>
                <w:color w:val="000000"/>
              </w:rPr>
              <w:t>2536 亩。</w:t>
            </w:r>
          </w:p>
          <w:p>
            <w:pPr>
              <w:pStyle w:val="null3"/>
              <w:spacing w:before="180"/>
              <w:ind w:right="75" w:firstLine="464"/>
              <w:jc w:val="left"/>
            </w:pPr>
            <w:r>
              <w:rPr>
                <w:rFonts w:ascii="仿宋_GB2312" w:hAnsi="仿宋_GB2312" w:cs="仿宋_GB2312" w:eastAsia="仿宋_GB2312"/>
                <w:sz w:val="24"/>
                <w:color w:val="000000"/>
              </w:rPr>
              <w:t>生长伐株树和蓄积：生长伐株树</w:t>
            </w:r>
            <w:r>
              <w:rPr>
                <w:rFonts w:ascii="仿宋_GB2312" w:hAnsi="仿宋_GB2312" w:cs="仿宋_GB2312" w:eastAsia="仿宋_GB2312"/>
                <w:sz w:val="24"/>
                <w:color w:val="000000"/>
              </w:rPr>
              <w:t xml:space="preserve"> 30829 株，生长伐蓄积944m3。</w:t>
            </w:r>
          </w:p>
          <w:p>
            <w:pPr>
              <w:pStyle w:val="null3"/>
              <w:spacing w:before="180"/>
              <w:ind w:right="75" w:firstLine="464"/>
              <w:jc w:val="left"/>
            </w:pPr>
            <w:r>
              <w:rPr>
                <w:rFonts w:ascii="仿宋_GB2312" w:hAnsi="仿宋_GB2312" w:cs="仿宋_GB2312" w:eastAsia="仿宋_GB2312"/>
                <w:sz w:val="24"/>
                <w:color w:val="000000"/>
              </w:rPr>
              <w:t>②修枝</w:t>
            </w:r>
          </w:p>
          <w:p>
            <w:pPr>
              <w:pStyle w:val="null3"/>
              <w:spacing w:before="180"/>
              <w:ind w:right="75" w:firstLine="464"/>
              <w:jc w:val="left"/>
            </w:pPr>
            <w:r>
              <w:rPr>
                <w:rFonts w:ascii="仿宋_GB2312" w:hAnsi="仿宋_GB2312" w:cs="仿宋_GB2312" w:eastAsia="仿宋_GB2312"/>
                <w:sz w:val="24"/>
                <w:color w:val="000000"/>
              </w:rPr>
              <w:t>采伐后，对保留的目标树以及影响目标树生长的其他树进行修枝。修枝主要是修去枯死枝及树冠下部</w:t>
            </w:r>
            <w:r>
              <w:rPr>
                <w:rFonts w:ascii="仿宋_GB2312" w:hAnsi="仿宋_GB2312" w:cs="仿宋_GB2312" w:eastAsia="仿宋_GB2312"/>
                <w:sz w:val="24"/>
                <w:color w:val="000000"/>
              </w:rPr>
              <w:t xml:space="preserve"> 1-2 轮活枝，中龄林阶段最多修去树高1/2 以下的枝条，保留冠高比不低于 1/2 。修枝比例为40%。</w:t>
            </w:r>
          </w:p>
          <w:p>
            <w:pPr>
              <w:pStyle w:val="null3"/>
              <w:spacing w:before="180"/>
              <w:ind w:right="75" w:firstLine="464"/>
              <w:jc w:val="left"/>
            </w:pPr>
            <w:r>
              <w:rPr>
                <w:rFonts w:ascii="仿宋_GB2312" w:hAnsi="仿宋_GB2312" w:cs="仿宋_GB2312" w:eastAsia="仿宋_GB2312"/>
                <w:sz w:val="24"/>
                <w:color w:val="000000"/>
              </w:rPr>
              <w:t>③割灌</w:t>
            </w:r>
          </w:p>
          <w:p>
            <w:pPr>
              <w:pStyle w:val="null3"/>
              <w:spacing w:before="180"/>
              <w:ind w:right="75" w:firstLine="464"/>
              <w:jc w:val="left"/>
            </w:pPr>
            <w:r>
              <w:rPr>
                <w:rFonts w:ascii="仿宋_GB2312" w:hAnsi="仿宋_GB2312" w:cs="仿宋_GB2312" w:eastAsia="仿宋_GB2312"/>
                <w:sz w:val="24"/>
                <w:color w:val="000000"/>
              </w:rPr>
              <w:t>以目标树为中心，割除其周围</w:t>
            </w:r>
            <w:r>
              <w:rPr>
                <w:rFonts w:ascii="仿宋_GB2312" w:hAnsi="仿宋_GB2312" w:cs="仿宋_GB2312" w:eastAsia="仿宋_GB2312"/>
                <w:sz w:val="24"/>
                <w:color w:val="000000"/>
              </w:rPr>
              <w:t xml:space="preserve"> 1.5m 范围内影响其生长的杂灌和藤本植物，进行局部割灌，避免全面割灌。割灌强度为20%-30%。</w:t>
            </w:r>
          </w:p>
          <w:p>
            <w:pPr>
              <w:pStyle w:val="null3"/>
              <w:spacing w:before="180"/>
              <w:ind w:right="75" w:firstLine="46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4）以华山松、落叶松、马尾松、油松为优势树种的中幼龄混交林</w:t>
            </w:r>
          </w:p>
          <w:p>
            <w:pPr>
              <w:pStyle w:val="null3"/>
              <w:spacing w:before="180"/>
              <w:ind w:right="75" w:firstLine="464"/>
              <w:jc w:val="left"/>
            </w:pPr>
            <w:r>
              <w:rPr>
                <w:rFonts w:ascii="仿宋_GB2312" w:hAnsi="仿宋_GB2312" w:cs="仿宋_GB2312" w:eastAsia="仿宋_GB2312"/>
                <w:sz w:val="24"/>
                <w:color w:val="000000"/>
              </w:rPr>
              <w:t>1）优势树种：华山松、落叶松、马尾松、油松</w:t>
            </w:r>
          </w:p>
          <w:p>
            <w:pPr>
              <w:pStyle w:val="null3"/>
              <w:spacing w:before="180"/>
              <w:ind w:right="75" w:firstLine="464"/>
              <w:jc w:val="left"/>
            </w:pPr>
            <w:r>
              <w:rPr>
                <w:rFonts w:ascii="仿宋_GB2312" w:hAnsi="仿宋_GB2312" w:cs="仿宋_GB2312" w:eastAsia="仿宋_GB2312"/>
                <w:sz w:val="24"/>
                <w:color w:val="000000"/>
              </w:rPr>
              <w:t>2）林分特点：优势树种明显，林木个体分化明显。 目的树种幼苗幼树更新较好，分布较均匀。林分平均胸径 10cm-13.0cm ，平均高度 8.4m- 9.8m ，林分密度 92-112 株/亩，郁闭度 0.75-0.8。</w:t>
            </w:r>
          </w:p>
          <w:p>
            <w:pPr>
              <w:pStyle w:val="null3"/>
              <w:spacing w:before="180"/>
              <w:ind w:right="75" w:firstLine="464"/>
              <w:jc w:val="left"/>
            </w:pPr>
            <w:r>
              <w:rPr>
                <w:rFonts w:ascii="仿宋_GB2312" w:hAnsi="仿宋_GB2312" w:cs="仿宋_GB2312" w:eastAsia="仿宋_GB2312"/>
                <w:sz w:val="24"/>
                <w:color w:val="000000"/>
              </w:rPr>
              <w:t>3）林下灌木：林分内灌木盖度一般，结构与种类较为单一，生长状况旺盛，多块状分布，平均盖度 18%-27% ，高度在 1.0m-2.0m ，主要灌木植物为悬钩子、胡枝子、木姜子、卫矛等，主要藤本植物有葛藤等。</w:t>
            </w:r>
          </w:p>
          <w:p>
            <w:pPr>
              <w:pStyle w:val="null3"/>
              <w:spacing w:before="180"/>
              <w:ind w:right="75" w:firstLine="464"/>
              <w:jc w:val="left"/>
            </w:pPr>
            <w:r>
              <w:rPr>
                <w:rFonts w:ascii="仿宋_GB2312" w:hAnsi="仿宋_GB2312" w:cs="仿宋_GB2312" w:eastAsia="仿宋_GB2312"/>
                <w:sz w:val="24"/>
                <w:color w:val="000000"/>
              </w:rPr>
              <w:t>4）抚育方法：生长伐-修枝-割灌。</w:t>
            </w:r>
          </w:p>
          <w:p>
            <w:pPr>
              <w:pStyle w:val="null3"/>
              <w:spacing w:before="180"/>
              <w:ind w:right="75" w:firstLine="464"/>
              <w:jc w:val="left"/>
            </w:pPr>
            <w:r>
              <w:rPr>
                <w:rFonts w:ascii="仿宋_GB2312" w:hAnsi="仿宋_GB2312" w:cs="仿宋_GB2312" w:eastAsia="仿宋_GB2312"/>
                <w:sz w:val="24"/>
                <w:color w:val="000000"/>
              </w:rPr>
              <w:t>5）抚育目的：调整林分密度，提高林分质量，促使复层林形成，提高森林生态系统稳定性和抗逆性。</w:t>
            </w:r>
          </w:p>
          <w:p>
            <w:pPr>
              <w:pStyle w:val="null3"/>
              <w:spacing w:before="180"/>
              <w:ind w:right="75" w:firstLine="464"/>
              <w:jc w:val="left"/>
            </w:pPr>
            <w:r>
              <w:rPr>
                <w:rFonts w:ascii="仿宋_GB2312" w:hAnsi="仿宋_GB2312" w:cs="仿宋_GB2312" w:eastAsia="仿宋_GB2312"/>
                <w:sz w:val="24"/>
                <w:color w:val="000000"/>
              </w:rPr>
              <w:t>6）技术要点</w:t>
            </w:r>
          </w:p>
          <w:p>
            <w:pPr>
              <w:pStyle w:val="null3"/>
              <w:spacing w:before="180"/>
              <w:ind w:right="75" w:firstLine="464"/>
              <w:jc w:val="left"/>
            </w:pPr>
            <w:r>
              <w:rPr>
                <w:rFonts w:ascii="仿宋_GB2312" w:hAnsi="仿宋_GB2312" w:cs="仿宋_GB2312" w:eastAsia="仿宋_GB2312"/>
                <w:sz w:val="24"/>
                <w:color w:val="000000"/>
              </w:rPr>
              <w:t>①生长伐</w:t>
            </w:r>
          </w:p>
          <w:p>
            <w:pPr>
              <w:pStyle w:val="null3"/>
              <w:spacing w:before="180"/>
              <w:ind w:right="75" w:firstLine="464"/>
              <w:jc w:val="left"/>
            </w:pPr>
            <w:r>
              <w:rPr>
                <w:rFonts w:ascii="仿宋_GB2312" w:hAnsi="仿宋_GB2312" w:cs="仿宋_GB2312" w:eastAsia="仿宋_GB2312"/>
                <w:sz w:val="24"/>
                <w:color w:val="000000"/>
              </w:rPr>
              <w:t>采伐对象：伐除目标树周围</w:t>
            </w:r>
            <w:r>
              <w:rPr>
                <w:rFonts w:ascii="仿宋_GB2312" w:hAnsi="仿宋_GB2312" w:cs="仿宋_GB2312" w:eastAsia="仿宋_GB2312"/>
                <w:sz w:val="24"/>
                <w:color w:val="000000"/>
              </w:rPr>
              <w:t xml:space="preserve"> 1-1.5m 范围内影响目标树生长的被压木、不良木等；伐除林内的枯死木、濒死木、受害木、断头木等无培养前途的林木个体。</w:t>
            </w:r>
          </w:p>
          <w:p>
            <w:pPr>
              <w:pStyle w:val="null3"/>
              <w:spacing w:before="180"/>
              <w:ind w:right="75" w:firstLine="464"/>
              <w:jc w:val="left"/>
            </w:pPr>
            <w:r>
              <w:rPr>
                <w:rFonts w:ascii="仿宋_GB2312" w:hAnsi="仿宋_GB2312" w:cs="仿宋_GB2312" w:eastAsia="仿宋_GB2312"/>
                <w:sz w:val="24"/>
                <w:color w:val="000000"/>
              </w:rPr>
              <w:t>采伐强度：株树强度</w:t>
            </w:r>
            <w:r>
              <w:rPr>
                <w:rFonts w:ascii="仿宋_GB2312" w:hAnsi="仿宋_GB2312" w:cs="仿宋_GB2312" w:eastAsia="仿宋_GB2312"/>
                <w:sz w:val="24"/>
                <w:color w:val="000000"/>
              </w:rPr>
              <w:t xml:space="preserve"> 12%-16% ，蓄积强度 6%-8%。</w:t>
            </w:r>
          </w:p>
          <w:p>
            <w:pPr>
              <w:pStyle w:val="null3"/>
              <w:spacing w:before="180"/>
              <w:ind w:right="75" w:firstLine="464"/>
              <w:jc w:val="left"/>
            </w:pPr>
            <w:r>
              <w:rPr>
                <w:rFonts w:ascii="仿宋_GB2312" w:hAnsi="仿宋_GB2312" w:cs="仿宋_GB2312" w:eastAsia="仿宋_GB2312"/>
                <w:sz w:val="24"/>
                <w:color w:val="000000"/>
              </w:rPr>
              <w:t>面积：</w:t>
            </w:r>
            <w:r>
              <w:rPr>
                <w:rFonts w:ascii="仿宋_GB2312" w:hAnsi="仿宋_GB2312" w:cs="仿宋_GB2312" w:eastAsia="仿宋_GB2312"/>
                <w:sz w:val="24"/>
                <w:color w:val="000000"/>
              </w:rPr>
              <w:t>8615 亩。</w:t>
            </w:r>
          </w:p>
          <w:p>
            <w:pPr>
              <w:pStyle w:val="null3"/>
              <w:spacing w:before="180"/>
              <w:ind w:right="75" w:firstLine="464"/>
              <w:jc w:val="left"/>
            </w:pPr>
            <w:r>
              <w:rPr>
                <w:rFonts w:ascii="仿宋_GB2312" w:hAnsi="仿宋_GB2312" w:cs="仿宋_GB2312" w:eastAsia="仿宋_GB2312"/>
                <w:sz w:val="24"/>
                <w:color w:val="000000"/>
              </w:rPr>
              <w:t>生长伐株树和蓄积：株树</w:t>
            </w:r>
            <w:r>
              <w:rPr>
                <w:rFonts w:ascii="仿宋_GB2312" w:hAnsi="仿宋_GB2312" w:cs="仿宋_GB2312" w:eastAsia="仿宋_GB2312"/>
                <w:sz w:val="24"/>
                <w:color w:val="000000"/>
              </w:rPr>
              <w:t xml:space="preserve"> 119488 株，蓄积 2510m3。</w:t>
            </w:r>
          </w:p>
          <w:p>
            <w:pPr>
              <w:pStyle w:val="null3"/>
              <w:spacing w:before="180"/>
              <w:ind w:right="75"/>
              <w:jc w:val="left"/>
            </w:pPr>
            <w:r>
              <w:rPr>
                <w:rFonts w:ascii="仿宋_GB2312" w:hAnsi="仿宋_GB2312" w:cs="仿宋_GB2312" w:eastAsia="仿宋_GB2312"/>
                <w:sz w:val="24"/>
                <w:color w:val="000000"/>
              </w:rPr>
              <w:t>②修枝</w:t>
            </w:r>
          </w:p>
          <w:p>
            <w:pPr>
              <w:pStyle w:val="null3"/>
              <w:spacing w:before="180"/>
              <w:ind w:right="75" w:firstLine="464"/>
              <w:jc w:val="left"/>
            </w:pPr>
            <w:r>
              <w:rPr>
                <w:rFonts w:ascii="仿宋_GB2312" w:hAnsi="仿宋_GB2312" w:cs="仿宋_GB2312" w:eastAsia="仿宋_GB2312"/>
                <w:sz w:val="24"/>
                <w:color w:val="000000"/>
              </w:rPr>
              <w:t>采伐后，对保留的目标树以及影响目标树生长的其他树进行修枝。修枝主要是修去枯死枝及树冠下部</w:t>
            </w:r>
            <w:r>
              <w:rPr>
                <w:rFonts w:ascii="仿宋_GB2312" w:hAnsi="仿宋_GB2312" w:cs="仿宋_GB2312" w:eastAsia="仿宋_GB2312"/>
                <w:sz w:val="24"/>
                <w:color w:val="000000"/>
              </w:rPr>
              <w:t xml:space="preserve"> 1-2 轮活枝， 中龄林阶段最多修去树高1/2 以下的枝条，保留冠高比不低于 1/2 。修枝比例为 30%-40%。</w:t>
            </w:r>
          </w:p>
          <w:p>
            <w:pPr>
              <w:pStyle w:val="null3"/>
              <w:spacing w:before="180"/>
              <w:ind w:right="75"/>
              <w:jc w:val="left"/>
            </w:pPr>
            <w:r>
              <w:rPr>
                <w:rFonts w:ascii="仿宋_GB2312" w:hAnsi="仿宋_GB2312" w:cs="仿宋_GB2312" w:eastAsia="仿宋_GB2312"/>
                <w:sz w:val="24"/>
                <w:color w:val="000000"/>
              </w:rPr>
              <w:t>③割灌</w:t>
            </w:r>
          </w:p>
          <w:p>
            <w:pPr>
              <w:pStyle w:val="null3"/>
              <w:spacing w:before="180"/>
              <w:ind w:right="75" w:firstLine="464"/>
              <w:jc w:val="left"/>
            </w:pPr>
            <w:r>
              <w:rPr>
                <w:rFonts w:ascii="仿宋_GB2312" w:hAnsi="仿宋_GB2312" w:cs="仿宋_GB2312" w:eastAsia="仿宋_GB2312"/>
                <w:sz w:val="24"/>
                <w:color w:val="000000"/>
              </w:rPr>
              <w:t>以目标树的幼苗幼树为中心，割除其周围</w:t>
            </w:r>
            <w:r>
              <w:rPr>
                <w:rFonts w:ascii="仿宋_GB2312" w:hAnsi="仿宋_GB2312" w:cs="仿宋_GB2312" w:eastAsia="仿宋_GB2312"/>
                <w:sz w:val="24"/>
                <w:color w:val="000000"/>
              </w:rPr>
              <w:t xml:space="preserve"> 1.5m 范围内影响其生长的杂灌和藤本植物，进行局部割灌，避免全面割灌。割灌强度为20%-30%。</w:t>
            </w:r>
          </w:p>
          <w:p>
            <w:pPr>
              <w:pStyle w:val="null3"/>
              <w:spacing w:before="180"/>
              <w:ind w:right="75"/>
              <w:jc w:val="left"/>
            </w:pPr>
            <w:r>
              <w:rPr>
                <w:rFonts w:ascii="仿宋_GB2312" w:hAnsi="仿宋_GB2312" w:cs="仿宋_GB2312" w:eastAsia="仿宋_GB2312"/>
                <w:sz w:val="24"/>
                <w:color w:val="000000"/>
              </w:rPr>
              <w:t>5.1.5 主要技术措施</w:t>
            </w:r>
          </w:p>
          <w:p>
            <w:pPr>
              <w:pStyle w:val="null3"/>
              <w:spacing w:before="180"/>
              <w:ind w:right="75" w:firstLine="46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）施工工序</w:t>
            </w:r>
          </w:p>
          <w:p>
            <w:pPr>
              <w:pStyle w:val="null3"/>
              <w:spacing w:before="180"/>
              <w:ind w:right="75" w:firstLine="464"/>
              <w:jc w:val="left"/>
            </w:pPr>
            <w:r>
              <w:rPr>
                <w:rFonts w:ascii="仿宋_GB2312" w:hAnsi="仿宋_GB2312" w:cs="仿宋_GB2312" w:eastAsia="仿宋_GB2312"/>
                <w:sz w:val="24"/>
                <w:color w:val="000000"/>
              </w:rPr>
              <w:t>森林抚育工序大致分为施工准备、施工阶段和施工验收三个阶段，各阶段工作内容见下图。</w:t>
            </w:r>
          </w:p>
          <w:p>
            <w:pPr>
              <w:pStyle w:val="null3"/>
              <w:spacing w:before="180"/>
              <w:ind w:right="75" w:firstLine="1392"/>
              <w:jc w:val="left"/>
            </w:pPr>
            <w:r>
              <w:rPr>
                <w:rFonts w:ascii="仿宋_GB2312" w:hAnsi="仿宋_GB2312" w:cs="仿宋_GB2312" w:eastAsia="仿宋_GB2312"/>
                <w:sz w:val="24"/>
                <w:color w:val="000000"/>
              </w:rPr>
              <w:t>施工准备</w:t>
            </w:r>
            <w:r>
              <w:rPr>
                <w:rFonts w:ascii="仿宋_GB2312" w:hAnsi="仿宋_GB2312" w:cs="仿宋_GB2312" w:eastAsia="仿宋_GB2312"/>
                <w:sz w:val="32"/>
                <w:b/>
                <w:color w:val="000000"/>
              </w:rPr>
              <w:t>→</w:t>
            </w:r>
            <w:r>
              <w:rPr>
                <w:rFonts w:ascii="仿宋_GB2312" w:hAnsi="仿宋_GB2312" w:cs="仿宋_GB2312" w:eastAsia="仿宋_GB2312"/>
                <w:sz w:val="24"/>
                <w:color w:val="000000"/>
              </w:rPr>
              <w:t>技术交底</w:t>
            </w:r>
            <w:r>
              <w:rPr>
                <w:rFonts w:ascii="仿宋_GB2312" w:hAnsi="仿宋_GB2312" w:cs="仿宋_GB2312" w:eastAsia="仿宋_GB2312"/>
                <w:sz w:val="32"/>
                <w:b/>
                <w:color w:val="000000"/>
              </w:rPr>
              <w:t>→</w:t>
            </w:r>
            <w:r>
              <w:rPr>
                <w:rFonts w:ascii="仿宋_GB2312" w:hAnsi="仿宋_GB2312" w:cs="仿宋_GB2312" w:eastAsia="仿宋_GB2312"/>
                <w:sz w:val="24"/>
                <w:color w:val="000000"/>
              </w:rPr>
              <w:t>组织施工方案</w:t>
            </w:r>
            <w:r>
              <w:rPr>
                <w:rFonts w:ascii="仿宋_GB2312" w:hAnsi="仿宋_GB2312" w:cs="仿宋_GB2312" w:eastAsia="仿宋_GB2312"/>
                <w:sz w:val="32"/>
                <w:b/>
                <w:color w:val="000000"/>
              </w:rPr>
              <w:t>→</w:t>
            </w:r>
            <w:r>
              <w:rPr>
                <w:rFonts w:ascii="仿宋_GB2312" w:hAnsi="仿宋_GB2312" w:cs="仿宋_GB2312" w:eastAsia="仿宋_GB2312"/>
                <w:sz w:val="24"/>
                <w:color w:val="000000"/>
              </w:rPr>
              <w:t>工棚搭建、物资采购</w:t>
            </w:r>
          </w:p>
          <w:p>
            <w:pPr>
              <w:pStyle w:val="null3"/>
              <w:spacing w:before="180"/>
              <w:ind w:right="75" w:firstLine="1872"/>
              <w:jc w:val="left"/>
            </w:pPr>
            <w:r>
              <w:rPr>
                <w:rFonts w:ascii="仿宋_GB2312" w:hAnsi="仿宋_GB2312" w:cs="仿宋_GB2312" w:eastAsia="仿宋_GB2312"/>
                <w:sz w:val="32"/>
                <w:color w:val="000000"/>
              </w:rPr>
              <w:t>↓</w:t>
            </w:r>
          </w:p>
          <w:p>
            <w:pPr>
              <w:pStyle w:val="null3"/>
              <w:spacing w:before="180"/>
              <w:ind w:right="75"/>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施工阶段</w:t>
            </w:r>
            <w:r>
              <w:rPr>
                <w:rFonts w:ascii="仿宋_GB2312" w:hAnsi="仿宋_GB2312" w:cs="仿宋_GB2312" w:eastAsia="仿宋_GB2312"/>
                <w:sz w:val="32"/>
                <w:b/>
                <w:color w:val="000000"/>
              </w:rPr>
              <w:t>→</w:t>
            </w:r>
            <w:r>
              <w:rPr>
                <w:rFonts w:ascii="仿宋_GB2312" w:hAnsi="仿宋_GB2312" w:cs="仿宋_GB2312" w:eastAsia="仿宋_GB2312"/>
                <w:sz w:val="24"/>
                <w:color w:val="000000"/>
              </w:rPr>
              <w:t>现场施工</w:t>
            </w:r>
            <w:r>
              <w:rPr>
                <w:rFonts w:ascii="仿宋_GB2312" w:hAnsi="仿宋_GB2312" w:cs="仿宋_GB2312" w:eastAsia="仿宋_GB2312"/>
                <w:sz w:val="32"/>
                <w:b/>
                <w:color w:val="000000"/>
              </w:rPr>
              <w:t>→</w:t>
            </w:r>
            <w:r>
              <w:rPr>
                <w:rFonts w:ascii="仿宋_GB2312" w:hAnsi="仿宋_GB2312" w:cs="仿宋_GB2312" w:eastAsia="仿宋_GB2312"/>
                <w:sz w:val="24"/>
                <w:color w:val="000000"/>
              </w:rPr>
              <w:t>现场技术检查</w:t>
            </w:r>
            <w:r>
              <w:rPr>
                <w:rFonts w:ascii="仿宋_GB2312" w:hAnsi="仿宋_GB2312" w:cs="仿宋_GB2312" w:eastAsia="仿宋_GB2312"/>
                <w:sz w:val="32"/>
                <w:b/>
                <w:color w:val="000000"/>
              </w:rPr>
              <w:t>→</w:t>
            </w:r>
            <w:r>
              <w:rPr>
                <w:rFonts w:ascii="仿宋_GB2312" w:hAnsi="仿宋_GB2312" w:cs="仿宋_GB2312" w:eastAsia="仿宋_GB2312"/>
                <w:sz w:val="24"/>
                <w:color w:val="000000"/>
              </w:rPr>
              <w:t>施工场地清理</w:t>
            </w:r>
          </w:p>
          <w:p>
            <w:pPr>
              <w:pStyle w:val="null3"/>
              <w:spacing w:before="180"/>
              <w:ind w:right="75" w:firstLine="1872"/>
              <w:jc w:val="left"/>
            </w:pPr>
            <w:r>
              <w:rPr>
                <w:rFonts w:ascii="仿宋_GB2312" w:hAnsi="仿宋_GB2312" w:cs="仿宋_GB2312" w:eastAsia="仿宋_GB2312"/>
                <w:sz w:val="32"/>
                <w:color w:val="000000"/>
              </w:rPr>
              <w:t>↓</w:t>
            </w:r>
          </w:p>
          <w:p>
            <w:pPr>
              <w:pStyle w:val="null3"/>
              <w:spacing w:before="180"/>
              <w:ind w:right="75" w:firstLine="1392"/>
              <w:jc w:val="left"/>
            </w:pPr>
            <w:r>
              <w:rPr>
                <w:rFonts w:ascii="仿宋_GB2312" w:hAnsi="仿宋_GB2312" w:cs="仿宋_GB2312" w:eastAsia="仿宋_GB2312"/>
                <w:sz w:val="24"/>
                <w:color w:val="000000"/>
              </w:rPr>
              <w:t>验收阶段</w:t>
            </w:r>
            <w:r>
              <w:rPr>
                <w:rFonts w:ascii="仿宋_GB2312" w:hAnsi="仿宋_GB2312" w:cs="仿宋_GB2312" w:eastAsia="仿宋_GB2312"/>
                <w:sz w:val="32"/>
                <w:b/>
                <w:color w:val="000000"/>
              </w:rPr>
              <w:t>→</w:t>
            </w:r>
            <w:r>
              <w:rPr>
                <w:rFonts w:ascii="仿宋_GB2312" w:hAnsi="仿宋_GB2312" w:cs="仿宋_GB2312" w:eastAsia="仿宋_GB2312"/>
                <w:sz w:val="24"/>
                <w:color w:val="000000"/>
              </w:rPr>
              <w:t>施工队自检</w:t>
            </w:r>
            <w:r>
              <w:rPr>
                <w:rFonts w:ascii="仿宋_GB2312" w:hAnsi="仿宋_GB2312" w:cs="仿宋_GB2312" w:eastAsia="仿宋_GB2312"/>
                <w:sz w:val="32"/>
                <w:b/>
                <w:color w:val="000000"/>
              </w:rPr>
              <w:t>→</w:t>
            </w:r>
            <w:r>
              <w:rPr>
                <w:rFonts w:ascii="仿宋_GB2312" w:hAnsi="仿宋_GB2312" w:cs="仿宋_GB2312" w:eastAsia="仿宋_GB2312"/>
                <w:sz w:val="24"/>
                <w:color w:val="000000"/>
              </w:rPr>
              <w:t>建设单位检查</w:t>
            </w:r>
            <w:r>
              <w:rPr>
                <w:rFonts w:ascii="仿宋_GB2312" w:hAnsi="仿宋_GB2312" w:cs="仿宋_GB2312" w:eastAsia="仿宋_GB2312"/>
                <w:sz w:val="32"/>
                <w:b/>
                <w:color w:val="000000"/>
              </w:rPr>
              <w:t>→</w:t>
            </w:r>
            <w:r>
              <w:rPr>
                <w:rFonts w:ascii="仿宋_GB2312" w:hAnsi="仿宋_GB2312" w:cs="仿宋_GB2312" w:eastAsia="仿宋_GB2312"/>
                <w:sz w:val="24"/>
                <w:color w:val="000000"/>
              </w:rPr>
              <w:t>主管单位验收</w:t>
            </w:r>
          </w:p>
          <w:p>
            <w:pPr>
              <w:pStyle w:val="null3"/>
              <w:spacing w:before="180"/>
              <w:ind w:right="75"/>
              <w:jc w:val="center"/>
            </w:pPr>
            <w:r>
              <w:rPr>
                <w:rFonts w:ascii="仿宋_GB2312" w:hAnsi="仿宋_GB2312" w:cs="仿宋_GB2312" w:eastAsia="仿宋_GB2312"/>
                <w:sz w:val="24"/>
                <w:b/>
                <w:color w:val="000000"/>
              </w:rPr>
              <w:t>图</w:t>
            </w:r>
            <w:r>
              <w:rPr>
                <w:rFonts w:ascii="仿宋_GB2312" w:hAnsi="仿宋_GB2312" w:cs="仿宋_GB2312" w:eastAsia="仿宋_GB2312"/>
                <w:sz w:val="24"/>
                <w:b/>
                <w:color w:val="000000"/>
              </w:rPr>
              <w:t xml:space="preserve"> 5-1  施工工序图</w:t>
            </w:r>
          </w:p>
          <w:p>
            <w:pPr>
              <w:pStyle w:val="null3"/>
              <w:spacing w:before="180"/>
              <w:ind w:right="7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2）作业方式</w:t>
            </w:r>
          </w:p>
          <w:p>
            <w:pPr>
              <w:pStyle w:val="null3"/>
              <w:spacing w:before="180"/>
              <w:ind w:right="75" w:firstLine="464"/>
              <w:jc w:val="left"/>
            </w:pPr>
            <w:r>
              <w:rPr>
                <w:rFonts w:ascii="仿宋_GB2312" w:hAnsi="仿宋_GB2312" w:cs="仿宋_GB2312" w:eastAsia="仿宋_GB2312"/>
                <w:sz w:val="24"/>
                <w:color w:val="000000"/>
              </w:rPr>
              <w:t>根据当地地形特点、资源状况以及技术措施的要求，本项目各工序均采用人力方式。</w:t>
            </w:r>
          </w:p>
          <w:p>
            <w:pPr>
              <w:pStyle w:val="null3"/>
              <w:spacing w:before="180"/>
              <w:ind w:right="7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）技术措施</w:t>
            </w:r>
          </w:p>
          <w:p>
            <w:pPr>
              <w:pStyle w:val="null3"/>
              <w:spacing w:before="180"/>
              <w:ind w:right="75" w:firstLine="464"/>
              <w:jc w:val="left"/>
            </w:pPr>
            <w:r>
              <w:rPr>
                <w:rFonts w:ascii="仿宋_GB2312" w:hAnsi="仿宋_GB2312" w:cs="仿宋_GB2312" w:eastAsia="仿宋_GB2312"/>
                <w:sz w:val="24"/>
                <w:color w:val="000000"/>
              </w:rPr>
              <w:t>1）疏伐</w:t>
            </w:r>
          </w:p>
          <w:p>
            <w:pPr>
              <w:pStyle w:val="null3"/>
              <w:spacing w:before="180"/>
              <w:ind w:right="75" w:firstLine="464"/>
              <w:jc w:val="left"/>
            </w:pPr>
            <w:r>
              <w:rPr>
                <w:rFonts w:ascii="仿宋_GB2312" w:hAnsi="仿宋_GB2312" w:cs="仿宋_GB2312" w:eastAsia="仿宋_GB2312"/>
                <w:sz w:val="24"/>
                <w:color w:val="000000"/>
              </w:rPr>
              <w:t>疏伐的原则是</w:t>
            </w:r>
            <w:r>
              <w:rPr>
                <w:rFonts w:ascii="仿宋_GB2312" w:hAnsi="仿宋_GB2312" w:cs="仿宋_GB2312" w:eastAsia="仿宋_GB2312"/>
                <w:sz w:val="24"/>
                <w:color w:val="000000"/>
              </w:rPr>
              <w:t>“砍劣留优、砍小留大、砍密留匀、砍萌留实、砍弯留直、分布均匀、疏密适度 ”。采伐时伐除目标树周围 1-1.5m 范围内影响目标树生长的被压木、不良木等；对于一个伐桩上萌生了多个个体的林木，伐除质量差、生长弱的个体；伐除林内的枯死木、濒死木、受害木、断头木等无培养前途的林木个体。</w:t>
            </w:r>
          </w:p>
          <w:p>
            <w:pPr>
              <w:pStyle w:val="null3"/>
              <w:spacing w:before="180"/>
              <w:ind w:right="75" w:firstLine="464"/>
              <w:jc w:val="left"/>
            </w:pPr>
            <w:r>
              <w:rPr>
                <w:rFonts w:ascii="仿宋_GB2312" w:hAnsi="仿宋_GB2312" w:cs="仿宋_GB2312" w:eastAsia="仿宋_GB2312"/>
                <w:sz w:val="24"/>
                <w:color w:val="000000"/>
              </w:rPr>
              <w:t>作业前，必须按照南郑区林木采伐限额管理制度办理林木采伐手续。此外，施工技术人员应按照设计图纸沿周界采用打桩或用红漆在固定物标注等形式确定施工作业小班的周界。</w:t>
            </w:r>
          </w:p>
          <w:p>
            <w:pPr>
              <w:pStyle w:val="null3"/>
              <w:spacing w:before="180"/>
              <w:ind w:right="75" w:firstLine="464"/>
              <w:jc w:val="left"/>
            </w:pPr>
            <w:r>
              <w:rPr>
                <w:rFonts w:ascii="仿宋_GB2312" w:hAnsi="仿宋_GB2312" w:cs="仿宋_GB2312" w:eastAsia="仿宋_GB2312"/>
                <w:sz w:val="24"/>
                <w:color w:val="000000"/>
              </w:rPr>
              <w:t>按照作业设计确定的各小班采伐株树强度，组织施工技术人员逐小班确定采伐木，打号员用红油漆对采伐木进行打号、检尺和登记。确定保留木时要根据地形、林木的疏密程度等因素灵活掌握，忌死搬硬套。一定要注意保留林缘木、边界木和孤立木。</w:t>
            </w:r>
          </w:p>
          <w:p>
            <w:pPr>
              <w:pStyle w:val="null3"/>
              <w:spacing w:before="180"/>
              <w:ind w:right="75" w:firstLine="464"/>
              <w:jc w:val="left"/>
            </w:pPr>
            <w:r>
              <w:rPr>
                <w:rFonts w:ascii="仿宋_GB2312" w:hAnsi="仿宋_GB2312" w:cs="仿宋_GB2312" w:eastAsia="仿宋_GB2312"/>
                <w:sz w:val="24"/>
                <w:color w:val="000000"/>
              </w:rPr>
              <w:t>采伐时应确定并标记伐木顺序和作业小班总的树倒方向。施工技术人员要认真观察被伐木树冠形状、树干是否腐朽、倾斜、弯曲，风向和风力，判断树木的自然倒向，根据上述诸因素和周围其他树木的位置，有无挂枝、枯枝和其他危险因素，正确选定树木伐倒方向。应尽量降低伐根高度，伐根高度不大于</w:t>
            </w:r>
            <w:r>
              <w:rPr>
                <w:rFonts w:ascii="仿宋_GB2312" w:hAnsi="仿宋_GB2312" w:cs="仿宋_GB2312" w:eastAsia="仿宋_GB2312"/>
                <w:sz w:val="24"/>
                <w:color w:val="000000"/>
              </w:rPr>
              <w:t xml:space="preserve"> 5.0cm ，应使用油锯伐树。提高伐木技术，防止劈裂、搭挂，避免对保留木造成伤害。</w:t>
            </w:r>
          </w:p>
          <w:p>
            <w:pPr>
              <w:pStyle w:val="null3"/>
              <w:spacing w:before="180"/>
              <w:ind w:right="75" w:firstLine="464"/>
              <w:jc w:val="left"/>
            </w:pPr>
            <w:r>
              <w:rPr>
                <w:rFonts w:ascii="仿宋_GB2312" w:hAnsi="仿宋_GB2312" w:cs="仿宋_GB2312" w:eastAsia="仿宋_GB2312"/>
                <w:sz w:val="24"/>
                <w:color w:val="000000"/>
              </w:rPr>
              <w:t>对立地条件差的地块，采伐作业完成后把砍除的枝干、灌木、藤本、刺丛等散铺在保留木树根处。对立地条件好的地块，采伐作业完成后把砍除的枝干、灌木、藤本、刺丛等堆放于保留木树根处，堆集规格为堆高</w:t>
            </w:r>
            <w:r>
              <w:rPr>
                <w:rFonts w:ascii="仿宋_GB2312" w:hAnsi="仿宋_GB2312" w:cs="仿宋_GB2312" w:eastAsia="仿宋_GB2312"/>
                <w:sz w:val="24"/>
                <w:color w:val="000000"/>
              </w:rPr>
              <w:t>≤ 1.2m 、堆长≤2.0m 、堆宽≤1.5m ，堆与堆间距≥5m。</w:t>
            </w:r>
          </w:p>
          <w:p>
            <w:pPr>
              <w:pStyle w:val="null3"/>
              <w:spacing w:before="180"/>
              <w:ind w:right="75" w:firstLine="464"/>
              <w:jc w:val="left"/>
            </w:pPr>
            <w:r>
              <w:rPr>
                <w:rFonts w:ascii="仿宋_GB2312" w:hAnsi="仿宋_GB2312" w:cs="仿宋_GB2312" w:eastAsia="仿宋_GB2312"/>
                <w:sz w:val="24"/>
                <w:color w:val="000000"/>
              </w:rPr>
              <w:t>2）卫生伐</w:t>
            </w:r>
          </w:p>
          <w:p>
            <w:pPr>
              <w:pStyle w:val="null3"/>
              <w:spacing w:before="180"/>
              <w:ind w:right="75" w:firstLine="464"/>
              <w:jc w:val="left"/>
            </w:pPr>
            <w:r>
              <w:rPr>
                <w:rFonts w:ascii="仿宋_GB2312" w:hAnsi="仿宋_GB2312" w:cs="仿宋_GB2312" w:eastAsia="仿宋_GB2312"/>
                <w:sz w:val="24"/>
                <w:color w:val="000000"/>
              </w:rPr>
              <w:t>采伐时伐除林内的枯死木、濒死木、受害木、病腐木、断头木、不良木等无培养前途的林木个体。按照作业设计确定的各小班采伐株树强度，组织施工技术人员逐小班确定采伐木，打号员用红油漆对采伐木进行打号、检尺和登记。采伐时应确定并标记伐木顺序和作业小班总的树倒方向，应尽量降低伐根高度，伐根高度不大于</w:t>
            </w:r>
            <w:r>
              <w:rPr>
                <w:rFonts w:ascii="仿宋_GB2312" w:hAnsi="仿宋_GB2312" w:cs="仿宋_GB2312" w:eastAsia="仿宋_GB2312"/>
                <w:sz w:val="24"/>
                <w:color w:val="000000"/>
              </w:rPr>
              <w:t xml:space="preserve"> 5.0cm。</w:t>
            </w:r>
          </w:p>
          <w:p>
            <w:pPr>
              <w:pStyle w:val="null3"/>
              <w:spacing w:before="180"/>
              <w:ind w:right="75" w:firstLine="464"/>
              <w:jc w:val="left"/>
            </w:pPr>
            <w:r>
              <w:rPr>
                <w:rFonts w:ascii="仿宋_GB2312" w:hAnsi="仿宋_GB2312" w:cs="仿宋_GB2312" w:eastAsia="仿宋_GB2312"/>
                <w:sz w:val="24"/>
                <w:color w:val="000000"/>
              </w:rPr>
              <w:t>对立地条件差的地块，采伐作业完成后把砍除的枝干、灌木、藤本、刺丛等散铺在保留木树根处。对立地条件好的地块，采伐作业完成后把砍除的枝干、灌木、藤本、刺丛等堆放于保留木树根处，堆集规格为堆高</w:t>
            </w:r>
            <w:r>
              <w:rPr>
                <w:rFonts w:ascii="仿宋_GB2312" w:hAnsi="仿宋_GB2312" w:cs="仿宋_GB2312" w:eastAsia="仿宋_GB2312"/>
                <w:sz w:val="24"/>
                <w:color w:val="000000"/>
              </w:rPr>
              <w:t>≤ 1.2m 、堆长≤2.0m 、堆宽≤1.5m ，堆与堆间距≥5m。</w:t>
            </w:r>
          </w:p>
          <w:p>
            <w:pPr>
              <w:pStyle w:val="null3"/>
              <w:spacing w:before="180"/>
              <w:ind w:right="75" w:firstLine="464"/>
              <w:jc w:val="left"/>
            </w:pPr>
            <w:r>
              <w:rPr>
                <w:rFonts w:ascii="仿宋_GB2312" w:hAnsi="仿宋_GB2312" w:cs="仿宋_GB2312" w:eastAsia="仿宋_GB2312"/>
                <w:sz w:val="24"/>
                <w:color w:val="000000"/>
              </w:rPr>
              <w:t>3）生长伐</w:t>
            </w:r>
          </w:p>
          <w:p>
            <w:pPr>
              <w:pStyle w:val="null3"/>
              <w:spacing w:before="180"/>
              <w:ind w:right="75" w:firstLine="464"/>
              <w:jc w:val="left"/>
            </w:pPr>
            <w:r>
              <w:rPr>
                <w:rFonts w:ascii="仿宋_GB2312" w:hAnsi="仿宋_GB2312" w:cs="仿宋_GB2312" w:eastAsia="仿宋_GB2312"/>
                <w:sz w:val="24"/>
                <w:color w:val="000000"/>
              </w:rPr>
              <w:t>采伐时伐除伐除林内的枯死木、濒死木、受害木、断头木等无培养前途的林木个体。林内的枯死木、濒死木、受害木、病腐木、断头木、不良木等无培养前途的林木个体。按照作业设计确定的各小班采伐株树强度，组织施工技术人员逐小班确定采伐木，打号员用红油漆对采伐木进行打号、检尺和登记。采伐时应确定并标记伐木顺序和作业小班总的树倒方向，应尽量降低伐根高度，伐根高度不大于</w:t>
            </w:r>
            <w:r>
              <w:rPr>
                <w:rFonts w:ascii="仿宋_GB2312" w:hAnsi="仿宋_GB2312" w:cs="仿宋_GB2312" w:eastAsia="仿宋_GB2312"/>
                <w:sz w:val="24"/>
                <w:color w:val="000000"/>
              </w:rPr>
              <w:t xml:space="preserve"> 5.0cm。</w:t>
            </w:r>
          </w:p>
          <w:p>
            <w:pPr>
              <w:pStyle w:val="null3"/>
              <w:spacing w:before="180"/>
              <w:ind w:right="75"/>
              <w:jc w:val="left"/>
            </w:pPr>
            <w:r>
              <w:rPr>
                <w:rFonts w:ascii="仿宋_GB2312" w:hAnsi="仿宋_GB2312" w:cs="仿宋_GB2312" w:eastAsia="仿宋_GB2312"/>
                <w:sz w:val="24"/>
                <w:color w:val="000000"/>
              </w:rPr>
              <w:t>对立地条件差的地块，采伐作业完成后把砍除的枝干、灌木、藤本、刺丛等散铺在保留木树根处。对立地条件好的地块，采伐作业完成后把砍除的枝干、灌木、藤本、刺丛等堆放于保留木树根处，堆集规格为堆高</w:t>
            </w:r>
            <w:r>
              <w:rPr>
                <w:rFonts w:ascii="仿宋_GB2312" w:hAnsi="仿宋_GB2312" w:cs="仿宋_GB2312" w:eastAsia="仿宋_GB2312"/>
                <w:sz w:val="24"/>
                <w:color w:val="000000"/>
              </w:rPr>
              <w:t>≤ 1.2m 、堆长≤2.0m 、堆宽≤1.5m ，堆与堆间距≥5m。</w:t>
            </w:r>
          </w:p>
          <w:p>
            <w:pPr>
              <w:pStyle w:val="null3"/>
              <w:spacing w:before="180"/>
              <w:ind w:right="75" w:firstLine="464"/>
              <w:jc w:val="left"/>
            </w:pPr>
            <w:r>
              <w:rPr>
                <w:rFonts w:ascii="仿宋_GB2312" w:hAnsi="仿宋_GB2312" w:cs="仿宋_GB2312" w:eastAsia="仿宋_GB2312"/>
                <w:sz w:val="24"/>
                <w:color w:val="000000"/>
              </w:rPr>
              <w:t>4）修枝</w:t>
            </w:r>
          </w:p>
          <w:p>
            <w:pPr>
              <w:pStyle w:val="null3"/>
              <w:spacing w:before="180"/>
              <w:ind w:right="75" w:firstLine="464"/>
              <w:jc w:val="left"/>
            </w:pPr>
            <w:r>
              <w:rPr>
                <w:rFonts w:ascii="仿宋_GB2312" w:hAnsi="仿宋_GB2312" w:cs="仿宋_GB2312" w:eastAsia="仿宋_GB2312"/>
                <w:sz w:val="24"/>
                <w:color w:val="000000"/>
              </w:rPr>
              <w:t>在自然整枝能力不良、林木枝条交叉重叠、通风不畅的林分中，对目标树以及林木高大且其枝条妨碍目标树生长的其他树进行修枝。通过修掉林木下部过多的枝条和枯死枝，调节林内通风透光条件，给目标树的生长创造适宜的条件。修枝比例为</w:t>
            </w:r>
            <w:r>
              <w:rPr>
                <w:rFonts w:ascii="仿宋_GB2312" w:hAnsi="仿宋_GB2312" w:cs="仿宋_GB2312" w:eastAsia="仿宋_GB2312"/>
                <w:sz w:val="24"/>
                <w:color w:val="000000"/>
              </w:rPr>
              <w:t>30%-40%。</w:t>
            </w:r>
          </w:p>
          <w:p>
            <w:pPr>
              <w:pStyle w:val="null3"/>
              <w:spacing w:before="180"/>
              <w:ind w:right="75"/>
              <w:jc w:val="left"/>
            </w:pPr>
            <w:r>
              <w:rPr>
                <w:rFonts w:ascii="仿宋_GB2312" w:hAnsi="仿宋_GB2312" w:cs="仿宋_GB2312" w:eastAsia="仿宋_GB2312"/>
                <w:sz w:val="24"/>
                <w:color w:val="000000"/>
              </w:rPr>
              <w:t>修枝主要是修去枯死枝及树冠下部</w:t>
            </w:r>
            <w:r>
              <w:rPr>
                <w:rFonts w:ascii="仿宋_GB2312" w:hAnsi="仿宋_GB2312" w:cs="仿宋_GB2312" w:eastAsia="仿宋_GB2312"/>
                <w:sz w:val="24"/>
                <w:color w:val="000000"/>
              </w:rPr>
              <w:t xml:space="preserve"> 1-2 轮活枝。 中龄林阶段最多修去树高 1/2 以下的枝条，保留冠高比不低于 1/2 ；幼龄林阶段最多修去树高1/3 以下的枝条，保留冠高比不低于2/3 。修枝时枝桩尽量修平，剪口不能伤害树干的韧皮部和木质部。修枝时应从根部依次到梢头，要紧贴树干表面修枝 ，做到光滑 、平整 ，不得留茬和深陷 、劈裂 ，最后在梢头直径4.0cm 处去掉梢头。修枝时应尽量少去枝，防止一次修枝过多，以免疤痕过多，难以愈合，影响林木生长。避免在雨季修枝，以免伤口不易愈合而感染病害，形成疤痕。修枝后，将修去的枝条散铺在保留木树根处，或按一定间距均匀堆放在保留木树根处。</w:t>
            </w:r>
          </w:p>
          <w:p>
            <w:pPr>
              <w:pStyle w:val="null3"/>
              <w:numPr>
                <w:ilvl w:val="0"/>
                <w:numId w:val="1"/>
              </w:numPr>
              <w:spacing w:before="180"/>
              <w:ind w:right="75"/>
              <w:jc w:val="left"/>
            </w:pPr>
            <w:r>
              <w:rPr>
                <w:rFonts w:ascii="仿宋_GB2312" w:hAnsi="仿宋_GB2312" w:cs="仿宋_GB2312" w:eastAsia="仿宋_GB2312"/>
                <w:sz w:val="24"/>
                <w:color w:val="000000"/>
              </w:rPr>
              <w:t>割灌</w:t>
            </w:r>
          </w:p>
          <w:p>
            <w:pPr>
              <w:pStyle w:val="null3"/>
              <w:spacing w:before="180"/>
              <w:ind w:right="75" w:firstLine="464"/>
              <w:jc w:val="left"/>
            </w:pPr>
            <w:r>
              <w:rPr>
                <w:rFonts w:ascii="仿宋_GB2312" w:hAnsi="仿宋_GB2312" w:cs="仿宋_GB2312" w:eastAsia="仿宋_GB2312"/>
                <w:sz w:val="24"/>
                <w:color w:val="000000"/>
              </w:rPr>
              <w:t>对于目标树生长受杂灌和藤本植物严重影响的小班进行割灌割藤。割灌割藤时要以目标树为中心，割除其周围</w:t>
            </w:r>
            <w:r>
              <w:rPr>
                <w:rFonts w:ascii="仿宋_GB2312" w:hAnsi="仿宋_GB2312" w:cs="仿宋_GB2312" w:eastAsia="仿宋_GB2312"/>
                <w:sz w:val="24"/>
                <w:color w:val="000000"/>
              </w:rPr>
              <w:t xml:space="preserve"> 1.5m 范围内影响其生长的杂灌和藤本植物，进行局部割灌，避免全面割灌。割灌时贴近地面切割，留茬高度不宜超过 5.0cm ，施工作业时注重保护珍稀濒危树木、林窗处的幼树幼苗及林下有生长潜力的幼树幼苗，稀疏地段适度保留灌木。割灌割藤后，将割除的灌木、藤本等散铺在保留木树根处，或按一定间距均匀堆放在保留木树根处。</w:t>
            </w:r>
          </w:p>
          <w:p>
            <w:pPr>
              <w:pStyle w:val="null3"/>
              <w:spacing w:before="180"/>
              <w:ind w:right="75"/>
              <w:jc w:val="left"/>
            </w:pPr>
            <w:r>
              <w:rPr>
                <w:rFonts w:ascii="仿宋_GB2312" w:hAnsi="仿宋_GB2312" w:cs="仿宋_GB2312" w:eastAsia="仿宋_GB2312"/>
                <w:sz w:val="24"/>
                <w:color w:val="000000"/>
              </w:rPr>
              <w:t>5.2 宣传牌</w:t>
            </w:r>
          </w:p>
          <w:p>
            <w:pPr>
              <w:pStyle w:val="null3"/>
              <w:spacing w:before="180"/>
              <w:ind w:right="75" w:firstLine="464"/>
              <w:jc w:val="left"/>
            </w:pPr>
            <w:r>
              <w:rPr>
                <w:rFonts w:ascii="仿宋_GB2312" w:hAnsi="仿宋_GB2312" w:cs="仿宋_GB2312" w:eastAsia="仿宋_GB2312"/>
                <w:sz w:val="24"/>
                <w:color w:val="000000"/>
              </w:rPr>
              <w:t>宣传牌规格为</w:t>
            </w:r>
            <w:r>
              <w:rPr>
                <w:rFonts w:ascii="仿宋_GB2312" w:hAnsi="仿宋_GB2312" w:cs="仿宋_GB2312" w:eastAsia="仿宋_GB2312"/>
                <w:sz w:val="24"/>
                <w:color w:val="000000"/>
              </w:rPr>
              <w:t xml:space="preserve"> 2000 × 1500mm 热镀锌钢架+5 年膜反光印刷。 宣传牌上应标明项目名称、建设地点、建设规模、抚育方式、抚育方法、建设期限、建设单位、施工单位、项目负责人、设计单位等内容。</w:t>
            </w:r>
          </w:p>
          <w:p>
            <w:pPr>
              <w:pStyle w:val="null3"/>
              <w:spacing w:before="180"/>
              <w:ind w:right="75"/>
              <w:jc w:val="center"/>
            </w:pPr>
            <w:r>
              <w:rPr>
                <w:rFonts w:ascii="仿宋_GB2312" w:hAnsi="仿宋_GB2312" w:cs="仿宋_GB2312" w:eastAsia="仿宋_GB2312"/>
                <w:sz w:val="24"/>
                <w:b/>
                <w:color w:val="000000"/>
              </w:rPr>
              <w:t>宣传牌样式示例</w:t>
            </w:r>
          </w:p>
          <w:tbl>
            <w:tblPr>
              <w:tblInd w:type="dxa" w:w="1050"/>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740"/>
                  </w:pPr>
                  <w:r>
                    <w:rPr>
                      <w:rFonts w:ascii="仿宋_GB2312" w:hAnsi="仿宋_GB2312" w:cs="仿宋_GB2312" w:eastAsia="仿宋_GB2312"/>
                      <w:sz w:val="24"/>
                      <w:color w:val="0D0D0D"/>
                    </w:rPr>
                    <w:t>南郑区国有黎坪林场</w:t>
                  </w:r>
                  <w:r>
                    <w:rPr>
                      <w:rFonts w:ascii="仿宋_GB2312" w:hAnsi="仿宋_GB2312" w:cs="仿宋_GB2312" w:eastAsia="仿宋_GB2312"/>
                      <w:sz w:val="24"/>
                      <w:color w:val="0D0D0D"/>
                    </w:rPr>
                    <w:t>2025年第二批</w:t>
                  </w:r>
                </w:p>
                <w:p>
                  <w:pPr>
                    <w:pStyle w:val="null3"/>
                    <w:spacing w:before="45"/>
                    <w:ind w:left="975"/>
                    <w:jc w:val="left"/>
                  </w:pPr>
                  <w:r>
                    <w:rPr>
                      <w:rFonts w:ascii="仿宋_GB2312" w:hAnsi="仿宋_GB2312" w:cs="仿宋_GB2312" w:eastAsia="仿宋_GB2312"/>
                      <w:sz w:val="24"/>
                      <w:color w:val="0D0D0D"/>
                    </w:rPr>
                    <w:t>中央财政林业草原改革发展资金其他国土绿化项目</w:t>
                  </w:r>
                </w:p>
                <w:p>
                  <w:pPr>
                    <w:pStyle w:val="null3"/>
                    <w:spacing w:before="75"/>
                    <w:ind w:left="600"/>
                  </w:pPr>
                  <w:r>
                    <w:rPr>
                      <w:rFonts w:ascii="仿宋_GB2312" w:hAnsi="仿宋_GB2312" w:cs="仿宋_GB2312" w:eastAsia="仿宋_GB2312"/>
                      <w:sz w:val="24"/>
                      <w:color w:val="0D0D0D"/>
                    </w:rPr>
                    <w:t>建设地点：</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p>
                <w:p>
                  <w:pPr>
                    <w:pStyle w:val="null3"/>
                    <w:spacing w:before="75"/>
                    <w:ind w:left="600"/>
                  </w:pPr>
                  <w:r>
                    <w:rPr>
                      <w:rFonts w:ascii="仿宋_GB2312" w:hAnsi="仿宋_GB2312" w:cs="仿宋_GB2312" w:eastAsia="仿宋_GB2312"/>
                      <w:sz w:val="24"/>
                      <w:color w:val="0D0D0D"/>
                    </w:rPr>
                    <w:t>建设规模：</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p>
                <w:p>
                  <w:pPr>
                    <w:pStyle w:val="null3"/>
                    <w:spacing w:before="75"/>
                    <w:ind w:left="600"/>
                  </w:pPr>
                  <w:r>
                    <w:rPr>
                      <w:rFonts w:ascii="仿宋_GB2312" w:hAnsi="仿宋_GB2312" w:cs="仿宋_GB2312" w:eastAsia="仿宋_GB2312"/>
                      <w:sz w:val="24"/>
                      <w:color w:val="0D0D0D"/>
                    </w:rPr>
                    <w:t>抚育方式：</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p>
                <w:p>
                  <w:pPr>
                    <w:pStyle w:val="null3"/>
                    <w:spacing w:before="75"/>
                    <w:ind w:left="600"/>
                  </w:pPr>
                  <w:r>
                    <w:rPr>
                      <w:rFonts w:ascii="仿宋_GB2312" w:hAnsi="仿宋_GB2312" w:cs="仿宋_GB2312" w:eastAsia="仿宋_GB2312"/>
                      <w:sz w:val="24"/>
                      <w:color w:val="0D0D0D"/>
                    </w:rPr>
                    <w:t>抚育方法：</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p>
                <w:p>
                  <w:pPr>
                    <w:pStyle w:val="null3"/>
                    <w:spacing w:before="30"/>
                    <w:ind w:left="600"/>
                  </w:pPr>
                  <w:r>
                    <w:rPr>
                      <w:rFonts w:ascii="仿宋_GB2312" w:hAnsi="仿宋_GB2312" w:cs="仿宋_GB2312" w:eastAsia="仿宋_GB2312"/>
                      <w:sz w:val="24"/>
                      <w:color w:val="0D0D0D"/>
                    </w:rPr>
                    <w:t>建设期限：</w:t>
                  </w:r>
                </w:p>
                <w:p>
                  <w:pPr>
                    <w:pStyle w:val="null3"/>
                    <w:ind w:left="600"/>
                  </w:pPr>
                  <w:r>
                    <w:rPr>
                      <w:rFonts w:ascii="仿宋_GB2312" w:hAnsi="仿宋_GB2312" w:cs="仿宋_GB2312" w:eastAsia="仿宋_GB2312"/>
                      <w:sz w:val="24"/>
                      <w:color w:val="0D0D0D"/>
                    </w:rPr>
                    <w:t>建设单位：</w:t>
                  </w:r>
                  <w:r>
                    <w:rPr>
                      <w:rFonts w:ascii="仿宋_GB2312" w:hAnsi="仿宋_GB2312" w:cs="仿宋_GB2312" w:eastAsia="仿宋_GB2312"/>
                      <w:sz w:val="24"/>
                      <w:color w:val="0D0D0D"/>
                    </w:rPr>
                    <w:t>汉中市</w:t>
                  </w:r>
                  <w:r>
                    <w:rPr>
                      <w:rFonts w:ascii="仿宋_GB2312" w:hAnsi="仿宋_GB2312" w:cs="仿宋_GB2312" w:eastAsia="仿宋_GB2312"/>
                      <w:sz w:val="24"/>
                      <w:color w:val="0D0D0D"/>
                    </w:rPr>
                    <w:t>南郑区国有黎坪</w:t>
                  </w:r>
                  <w:r>
                    <w:rPr>
                      <w:rFonts w:ascii="仿宋_GB2312" w:hAnsi="仿宋_GB2312" w:cs="仿宋_GB2312" w:eastAsia="仿宋_GB2312"/>
                      <w:sz w:val="24"/>
                      <w:color w:val="0D0D0D"/>
                    </w:rPr>
                    <w:t>林场</w:t>
                  </w:r>
                </w:p>
                <w:p>
                  <w:pPr>
                    <w:pStyle w:val="null3"/>
                    <w:spacing w:before="45"/>
                    <w:ind w:left="600"/>
                  </w:pPr>
                  <w:r>
                    <w:rPr>
                      <w:rFonts w:ascii="仿宋_GB2312" w:hAnsi="仿宋_GB2312" w:cs="仿宋_GB2312" w:eastAsia="仿宋_GB2312"/>
                      <w:sz w:val="24"/>
                      <w:color w:val="0D0D0D"/>
                    </w:rPr>
                    <w:t>施工单位：</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p>
                <w:p>
                  <w:pPr>
                    <w:pStyle w:val="null3"/>
                    <w:spacing w:before="75"/>
                    <w:ind w:left="600"/>
                  </w:pPr>
                  <w:r>
                    <w:rPr>
                      <w:rFonts w:ascii="仿宋_GB2312" w:hAnsi="仿宋_GB2312" w:cs="仿宋_GB2312" w:eastAsia="仿宋_GB2312"/>
                      <w:sz w:val="24"/>
                      <w:color w:val="0D0D0D"/>
                    </w:rPr>
                    <w:t>项目负责人：</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r>
                    <w:rPr>
                      <w:rFonts w:ascii="仿宋_GB2312" w:hAnsi="仿宋_GB2312" w:cs="仿宋_GB2312" w:eastAsia="仿宋_GB2312"/>
                    </w:rPr>
                    <w:t xml:space="preserve"> </w:t>
                  </w:r>
                  <w:r>
                    <w:rPr>
                      <w:rFonts w:ascii="仿宋_GB2312" w:hAnsi="仿宋_GB2312" w:cs="仿宋_GB2312" w:eastAsia="仿宋_GB2312"/>
                      <w:sz w:val="24"/>
                      <w:color w:val="0D0D0D"/>
                    </w:rPr>
                    <w:t>×</w:t>
                  </w:r>
                </w:p>
                <w:p>
                  <w:pPr>
                    <w:pStyle w:val="null3"/>
                    <w:spacing w:before="75"/>
                    <w:ind w:left="1815" w:right="1275"/>
                  </w:pPr>
                  <w:r>
                    <w:rPr>
                      <w:rFonts w:ascii="仿宋_GB2312" w:hAnsi="仿宋_GB2312" w:cs="仿宋_GB2312" w:eastAsia="仿宋_GB2312"/>
                      <w:sz w:val="24"/>
                      <w:color w:val="0D0D0D"/>
                    </w:rPr>
                    <w:t>设计单位：江西山和林业工程咨询事务所有限公司</w:t>
                  </w:r>
                  <w:r>
                    <w:rPr>
                      <w:rFonts w:ascii="仿宋_GB2312" w:hAnsi="仿宋_GB2312" w:cs="仿宋_GB2312" w:eastAsia="仿宋_GB2312"/>
                      <w:sz w:val="24"/>
                      <w:color w:val="0D0D0D"/>
                    </w:rPr>
                    <w:t>汉中市</w:t>
                  </w:r>
                  <w:r>
                    <w:rPr>
                      <w:rFonts w:ascii="仿宋_GB2312" w:hAnsi="仿宋_GB2312" w:cs="仿宋_GB2312" w:eastAsia="仿宋_GB2312"/>
                      <w:sz w:val="24"/>
                      <w:color w:val="0D0D0D"/>
                    </w:rPr>
                    <w:t>南郑区国有黎坪</w:t>
                  </w:r>
                  <w:r>
                    <w:rPr>
                      <w:rFonts w:ascii="仿宋_GB2312" w:hAnsi="仿宋_GB2312" w:cs="仿宋_GB2312" w:eastAsia="仿宋_GB2312"/>
                      <w:sz w:val="24"/>
                      <w:color w:val="0D0D0D"/>
                    </w:rPr>
                    <w:t>林场</w:t>
                  </w:r>
                </w:p>
                <w:p>
                  <w:pPr>
                    <w:pStyle w:val="null3"/>
                    <w:ind w:left="1785"/>
                  </w:pPr>
                  <w:r>
                    <w:rPr>
                      <w:rFonts w:ascii="仿宋_GB2312" w:hAnsi="仿宋_GB2312" w:cs="仿宋_GB2312" w:eastAsia="仿宋_GB2312"/>
                      <w:sz w:val="24"/>
                      <w:color w:val="0D0D0D"/>
                    </w:rPr>
                    <w:t>2025</w:t>
                  </w:r>
                  <w:r>
                    <w:rPr>
                      <w:rFonts w:ascii="仿宋_GB2312" w:hAnsi="仿宋_GB2312" w:cs="仿宋_GB2312" w:eastAsia="仿宋_GB2312"/>
                    </w:rPr>
                    <w:t xml:space="preserve"> </w:t>
                  </w:r>
                  <w:r>
                    <w:rPr>
                      <w:rFonts w:ascii="仿宋_GB2312" w:hAnsi="仿宋_GB2312" w:cs="仿宋_GB2312" w:eastAsia="仿宋_GB2312"/>
                      <w:sz w:val="24"/>
                      <w:color w:val="0D0D0D"/>
                    </w:rPr>
                    <w:t>年</w:t>
                  </w:r>
                  <w:r>
                    <w:rPr>
                      <w:rFonts w:ascii="仿宋_GB2312" w:hAnsi="仿宋_GB2312" w:cs="仿宋_GB2312" w:eastAsia="仿宋_GB2312"/>
                      <w:sz w:val="24"/>
                      <w:color w:val="0D0D0D"/>
                    </w:rPr>
                    <w:t>××月</w:t>
                  </w:r>
                </w:p>
              </w:tc>
            </w:tr>
          </w:tbl>
          <w:p>
            <w:pPr>
              <w:pStyle w:val="null3"/>
              <w:spacing w:before="180"/>
              <w:ind w:right="75"/>
              <w:jc w:val="left"/>
            </w:pPr>
            <w:r>
              <w:rPr>
                <w:rFonts w:ascii="仿宋_GB2312" w:hAnsi="仿宋_GB2312" w:cs="仿宋_GB2312" w:eastAsia="仿宋_GB2312"/>
                <w:sz w:val="24"/>
                <w:color w:val="000000"/>
              </w:rPr>
              <w:t>表</w:t>
            </w:r>
            <w:r>
              <w:rPr>
                <w:rFonts w:ascii="仿宋_GB2312" w:hAnsi="仿宋_GB2312" w:cs="仿宋_GB2312" w:eastAsia="仿宋_GB2312"/>
                <w:sz w:val="24"/>
                <w:color w:val="000000"/>
              </w:rPr>
              <w:t xml:space="preserve"> 5-2  宣传牌地理坐标表</w:t>
            </w:r>
          </w:p>
          <w:tbl>
            <w:tblPr>
              <w:tblInd w:type="dxa" w:w="135"/>
              <w:tblBorders>
                <w:top w:val="none" w:color="000000" w:sz="4"/>
                <w:left w:val="none" w:color="000000" w:sz="4"/>
                <w:bottom w:val="none" w:color="000000" w:sz="4"/>
                <w:right w:val="none" w:color="000000" w:sz="4"/>
                <w:insideH w:val="none"/>
                <w:insideV w:val="none"/>
              </w:tblBorders>
            </w:tblPr>
            <w:tblGrid>
              <w:gridCol w:w="339"/>
              <w:gridCol w:w="339"/>
              <w:gridCol w:w="235"/>
              <w:gridCol w:w="303"/>
              <w:gridCol w:w="624"/>
              <w:gridCol w:w="697"/>
            </w:tblGrid>
            <w:tr>
              <w:tc>
                <w:tcPr>
                  <w:tcW w:type="dxa" w:w="339"/>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80"/>
                    <w:ind w:right="75"/>
                    <w:jc w:val="left"/>
                  </w:pPr>
                </w:p>
              </w:tc>
              <w:tc>
                <w:tcPr>
                  <w:tcW w:type="dxa" w:w="339"/>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53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75"/>
                    <w:jc w:val="center"/>
                  </w:pPr>
                  <w:r>
                    <w:rPr>
                      <w:rFonts w:ascii="仿宋_GB2312" w:hAnsi="仿宋_GB2312" w:cs="仿宋_GB2312" w:eastAsia="仿宋_GB2312"/>
                      <w:sz w:val="24"/>
                      <w:color w:val="000000"/>
                    </w:rPr>
                    <w:t>位置</w:t>
                  </w:r>
                </w:p>
              </w:tc>
              <w:tc>
                <w:tcPr>
                  <w:tcW w:type="dxa" w:w="624"/>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80"/>
                    <w:ind w:right="75"/>
                    <w:jc w:val="center"/>
                  </w:pPr>
                  <w:r>
                    <w:rPr>
                      <w:rFonts w:ascii="仿宋_GB2312" w:hAnsi="仿宋_GB2312" w:cs="仿宋_GB2312" w:eastAsia="仿宋_GB2312"/>
                      <w:sz w:val="24"/>
                      <w:color w:val="000000"/>
                    </w:rPr>
                    <w:t>X 坐标</w:t>
                  </w:r>
                </w:p>
              </w:tc>
              <w:tc>
                <w:tcPr>
                  <w:tcW w:type="dxa" w:w="697"/>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80"/>
                    <w:ind w:right="75"/>
                    <w:jc w:val="center"/>
                  </w:pPr>
                  <w:r>
                    <w:rPr>
                      <w:rFonts w:ascii="仿宋_GB2312" w:hAnsi="仿宋_GB2312" w:cs="仿宋_GB2312" w:eastAsia="仿宋_GB2312"/>
                      <w:sz w:val="24"/>
                      <w:color w:val="000000"/>
                    </w:rPr>
                    <w:t>Y 坐标</w:t>
                  </w:r>
                </w:p>
              </w:tc>
            </w:tr>
            <w:tr>
              <w:tc>
                <w:tcPr>
                  <w:tcW w:type="dxa" w:w="339"/>
                  <w:vMerge/>
                  <w:tcBorders>
                    <w:top w:val="single" w:color="000000" w:sz="4"/>
                    <w:left w:val="single" w:color="000000" w:sz="4"/>
                    <w:bottom w:val="none" w:color="000000" w:sz="4"/>
                    <w:right w:val="single" w:color="000000" w:sz="4"/>
                  </w:tcBorders>
                </w:tcPr>
                <w:p/>
              </w:tc>
              <w:tc>
                <w:tcPr>
                  <w:tcW w:type="dxa" w:w="339"/>
                  <w:vMerge/>
                  <w:tcBorders>
                    <w:top w:val="single" w:color="000000" w:sz="4"/>
                    <w:left w:val="single" w:color="000000" w:sz="4"/>
                    <w:bottom w:val="non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75"/>
                    <w:jc w:val="center"/>
                  </w:pPr>
                  <w:r>
                    <w:rPr>
                      <w:rFonts w:ascii="仿宋_GB2312" w:hAnsi="仿宋_GB2312" w:cs="仿宋_GB2312" w:eastAsia="仿宋_GB2312"/>
                      <w:sz w:val="24"/>
                      <w:color w:val="000000"/>
                    </w:rPr>
                    <w:t>林班</w:t>
                  </w:r>
                </w:p>
              </w:tc>
              <w:tc>
                <w:tcPr>
                  <w:tcW w:type="dxa" w:w="3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75"/>
                    <w:jc w:val="center"/>
                  </w:pPr>
                  <w:r>
                    <w:rPr>
                      <w:rFonts w:ascii="仿宋_GB2312" w:hAnsi="仿宋_GB2312" w:cs="仿宋_GB2312" w:eastAsia="仿宋_GB2312"/>
                      <w:sz w:val="24"/>
                      <w:color w:val="000000"/>
                    </w:rPr>
                    <w:t>小班</w:t>
                  </w:r>
                </w:p>
              </w:tc>
              <w:tc>
                <w:tcPr>
                  <w:tcW w:type="dxa" w:w="624"/>
                  <w:vMerge/>
                  <w:tcBorders>
                    <w:top w:val="single" w:color="000000" w:sz="4"/>
                    <w:left w:val="single" w:color="000000" w:sz="4"/>
                    <w:bottom w:val="none" w:color="000000" w:sz="4"/>
                    <w:right w:val="single" w:color="000000" w:sz="4"/>
                  </w:tcBorders>
                </w:tcPr>
                <w:p/>
              </w:tc>
              <w:tc>
                <w:tcPr>
                  <w:tcW w:type="dxa" w:w="697"/>
                  <w:vMerge/>
                  <w:tcBorders>
                    <w:top w:val="single" w:color="000000" w:sz="4"/>
                    <w:left w:val="single" w:color="000000" w:sz="4"/>
                    <w:bottom w:val="none" w:color="000000" w:sz="4"/>
                    <w:right w:val="single" w:color="000000" w:sz="4"/>
                  </w:tcBorders>
                </w:tcPr>
                <w:p/>
              </w:tc>
            </w:tr>
            <w:tr>
              <w:tc>
                <w:tcPr>
                  <w:tcW w:type="dxa" w:w="33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80"/>
                    <w:ind w:right="75"/>
                    <w:jc w:val="center"/>
                  </w:pPr>
                  <w:r>
                    <w:rPr>
                      <w:rFonts w:ascii="仿宋_GB2312" w:hAnsi="仿宋_GB2312" w:cs="仿宋_GB2312" w:eastAsia="仿宋_GB2312"/>
                      <w:sz w:val="24"/>
                      <w:color w:val="000000"/>
                    </w:rPr>
                    <w:t>黎坪林场</w:t>
                  </w: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75"/>
                    <w:jc w:val="center"/>
                  </w:pPr>
                  <w:r>
                    <w:rPr>
                      <w:rFonts w:ascii="仿宋_GB2312" w:hAnsi="仿宋_GB2312" w:cs="仿宋_GB2312" w:eastAsia="仿宋_GB2312"/>
                      <w:sz w:val="24"/>
                      <w:color w:val="000000"/>
                    </w:rPr>
                    <w:t>1</w:t>
                  </w: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75"/>
                    <w:jc w:val="center"/>
                  </w:pPr>
                  <w:r>
                    <w:rPr>
                      <w:rFonts w:ascii="仿宋_GB2312" w:hAnsi="仿宋_GB2312" w:cs="仿宋_GB2312" w:eastAsia="仿宋_GB2312"/>
                      <w:sz w:val="24"/>
                      <w:color w:val="000000"/>
                    </w:rPr>
                    <w:t>34</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75"/>
                    <w:jc w:val="center"/>
                  </w:pPr>
                  <w:r>
                    <w:rPr>
                      <w:rFonts w:ascii="仿宋_GB2312" w:hAnsi="仿宋_GB2312" w:cs="仿宋_GB2312" w:eastAsia="仿宋_GB2312"/>
                      <w:sz w:val="24"/>
                      <w:color w:val="000000"/>
                    </w:rPr>
                    <w:t>4</w:t>
                  </w:r>
                </w:p>
              </w:tc>
              <w:tc>
                <w:tcPr>
                  <w:tcW w:type="dxa" w:w="6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75"/>
                    <w:jc w:val="center"/>
                  </w:pPr>
                  <w:r>
                    <w:rPr>
                      <w:rFonts w:ascii="仿宋_GB2312" w:hAnsi="仿宋_GB2312" w:cs="仿宋_GB2312" w:eastAsia="仿宋_GB2312"/>
                      <w:sz w:val="24"/>
                      <w:color w:val="000000"/>
                    </w:rPr>
                    <w:t>367557.46</w:t>
                  </w:r>
                </w:p>
              </w:tc>
              <w:tc>
                <w:tcPr>
                  <w:tcW w:type="dxa" w:w="6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75"/>
                    <w:jc w:val="center"/>
                  </w:pPr>
                  <w:r>
                    <w:rPr>
                      <w:rFonts w:ascii="仿宋_GB2312" w:hAnsi="仿宋_GB2312" w:cs="仿宋_GB2312" w:eastAsia="仿宋_GB2312"/>
                      <w:sz w:val="24"/>
                      <w:color w:val="000000"/>
                    </w:rPr>
                    <w:t>3624025.68</w:t>
                  </w:r>
                </w:p>
              </w:tc>
            </w:tr>
            <w:tr>
              <w:tc>
                <w:tcPr>
                  <w:tcW w:type="dxa" w:w="339"/>
                  <w:vMerge/>
                  <w:tcBorders>
                    <w:top w:val="none" w:color="000000" w:sz="4"/>
                    <w:left w:val="single" w:color="000000" w:sz="4"/>
                    <w:bottom w:val="none" w:color="000000" w:sz="4"/>
                    <w:right w:val="single" w:color="000000" w:sz="4"/>
                  </w:tcBorders>
                </w:tcP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75"/>
                    <w:jc w:val="center"/>
                  </w:pPr>
                  <w:r>
                    <w:rPr>
                      <w:rFonts w:ascii="仿宋_GB2312" w:hAnsi="仿宋_GB2312" w:cs="仿宋_GB2312" w:eastAsia="仿宋_GB2312"/>
                      <w:sz w:val="24"/>
                      <w:color w:val="000000"/>
                    </w:rPr>
                    <w:t>2</w:t>
                  </w: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75"/>
                    <w:jc w:val="center"/>
                  </w:pPr>
                  <w:r>
                    <w:rPr>
                      <w:rFonts w:ascii="仿宋_GB2312" w:hAnsi="仿宋_GB2312" w:cs="仿宋_GB2312" w:eastAsia="仿宋_GB2312"/>
                      <w:sz w:val="24"/>
                      <w:color w:val="000000"/>
                    </w:rPr>
                    <w:t>37</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75"/>
                    <w:jc w:val="center"/>
                  </w:pPr>
                  <w:r>
                    <w:rPr>
                      <w:rFonts w:ascii="仿宋_GB2312" w:hAnsi="仿宋_GB2312" w:cs="仿宋_GB2312" w:eastAsia="仿宋_GB2312"/>
                      <w:sz w:val="24"/>
                      <w:color w:val="000000"/>
                    </w:rPr>
                    <w:t>4</w:t>
                  </w:r>
                </w:p>
              </w:tc>
              <w:tc>
                <w:tcPr>
                  <w:tcW w:type="dxa" w:w="6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75"/>
                    <w:jc w:val="center"/>
                  </w:pPr>
                  <w:r>
                    <w:rPr>
                      <w:rFonts w:ascii="仿宋_GB2312" w:hAnsi="仿宋_GB2312" w:cs="仿宋_GB2312" w:eastAsia="仿宋_GB2312"/>
                      <w:sz w:val="24"/>
                      <w:color w:val="000000"/>
                    </w:rPr>
                    <w:t>371379.13</w:t>
                  </w:r>
                </w:p>
              </w:tc>
              <w:tc>
                <w:tcPr>
                  <w:tcW w:type="dxa" w:w="6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75"/>
                    <w:jc w:val="center"/>
                  </w:pPr>
                  <w:r>
                    <w:rPr>
                      <w:rFonts w:ascii="仿宋_GB2312" w:hAnsi="仿宋_GB2312" w:cs="仿宋_GB2312" w:eastAsia="仿宋_GB2312"/>
                      <w:sz w:val="24"/>
                      <w:color w:val="000000"/>
                    </w:rPr>
                    <w:t>3625730.90</w:t>
                  </w:r>
                </w:p>
              </w:tc>
            </w:tr>
            <w:tr>
              <w:tc>
                <w:tcPr>
                  <w:tcW w:type="dxa" w:w="339"/>
                  <w:vMerge/>
                  <w:tcBorders>
                    <w:top w:val="none" w:color="000000" w:sz="4"/>
                    <w:left w:val="single" w:color="000000" w:sz="4"/>
                    <w:bottom w:val="none" w:color="000000" w:sz="4"/>
                    <w:right w:val="single" w:color="000000" w:sz="4"/>
                  </w:tcBorders>
                </w:tcPr>
                <w:p/>
              </w:tc>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75"/>
                    <w:jc w:val="center"/>
                  </w:pPr>
                  <w:r>
                    <w:rPr>
                      <w:rFonts w:ascii="仿宋_GB2312" w:hAnsi="仿宋_GB2312" w:cs="仿宋_GB2312" w:eastAsia="仿宋_GB2312"/>
                      <w:sz w:val="24"/>
                      <w:color w:val="000000"/>
                    </w:rPr>
                    <w:t>3</w:t>
                  </w: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75"/>
                    <w:jc w:val="center"/>
                  </w:pPr>
                  <w:r>
                    <w:rPr>
                      <w:rFonts w:ascii="仿宋_GB2312" w:hAnsi="仿宋_GB2312" w:cs="仿宋_GB2312" w:eastAsia="仿宋_GB2312"/>
                      <w:sz w:val="24"/>
                      <w:color w:val="000000"/>
                    </w:rPr>
                    <w:t>47</w:t>
                  </w:r>
                </w:p>
              </w:tc>
              <w:tc>
                <w:tcPr>
                  <w:tcW w:type="dxa" w:w="3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75"/>
                    <w:jc w:val="center"/>
                  </w:pPr>
                  <w:r>
                    <w:rPr>
                      <w:rFonts w:ascii="仿宋_GB2312" w:hAnsi="仿宋_GB2312" w:cs="仿宋_GB2312" w:eastAsia="仿宋_GB2312"/>
                      <w:sz w:val="24"/>
                      <w:color w:val="000000"/>
                    </w:rPr>
                    <w:t>2</w:t>
                  </w:r>
                </w:p>
              </w:tc>
              <w:tc>
                <w:tcPr>
                  <w:tcW w:type="dxa" w:w="6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75"/>
                    <w:jc w:val="center"/>
                  </w:pPr>
                  <w:r>
                    <w:rPr>
                      <w:rFonts w:ascii="仿宋_GB2312" w:hAnsi="仿宋_GB2312" w:cs="仿宋_GB2312" w:eastAsia="仿宋_GB2312"/>
                      <w:sz w:val="24"/>
                      <w:color w:val="000000"/>
                    </w:rPr>
                    <w:t>369742.94</w:t>
                  </w:r>
                </w:p>
              </w:tc>
              <w:tc>
                <w:tcPr>
                  <w:tcW w:type="dxa" w:w="6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75"/>
                    <w:jc w:val="center"/>
                  </w:pPr>
                  <w:r>
                    <w:rPr>
                      <w:rFonts w:ascii="仿宋_GB2312" w:hAnsi="仿宋_GB2312" w:cs="仿宋_GB2312" w:eastAsia="仿宋_GB2312"/>
                      <w:sz w:val="24"/>
                      <w:color w:val="000000"/>
                    </w:rPr>
                    <w:t>3622723.11</w:t>
                  </w:r>
                </w:p>
              </w:tc>
            </w:tr>
          </w:tbl>
          <w:p>
            <w:pPr>
              <w:pStyle w:val="null3"/>
              <w:spacing w:before="180"/>
              <w:ind w:right="75"/>
              <w:jc w:val="left"/>
            </w:pPr>
            <w:r>
              <w:rPr>
                <w:rFonts w:ascii="仿宋_GB2312" w:hAnsi="仿宋_GB2312" w:cs="仿宋_GB2312" w:eastAsia="仿宋_GB2312"/>
                <w:sz w:val="24"/>
                <w:color w:val="000000"/>
              </w:rPr>
              <w:t>5.3 用工量</w:t>
            </w:r>
          </w:p>
          <w:p>
            <w:pPr>
              <w:pStyle w:val="null3"/>
              <w:spacing w:before="180"/>
              <w:ind w:right="75" w:firstLine="464"/>
              <w:jc w:val="left"/>
            </w:pPr>
            <w:r>
              <w:rPr>
                <w:rFonts w:ascii="仿宋_GB2312" w:hAnsi="仿宋_GB2312" w:cs="仿宋_GB2312" w:eastAsia="仿宋_GB2312"/>
                <w:sz w:val="24"/>
                <w:color w:val="000000"/>
              </w:rPr>
              <w:t>经计算，</w:t>
            </w:r>
            <w:r>
              <w:rPr>
                <w:rFonts w:ascii="仿宋_GB2312" w:hAnsi="仿宋_GB2312" w:cs="仿宋_GB2312" w:eastAsia="仿宋_GB2312"/>
                <w:sz w:val="24"/>
                <w:color w:val="000000"/>
              </w:rPr>
              <w:t>南郑区国有黎坪林场</w:t>
            </w:r>
            <w:r>
              <w:rPr>
                <w:rFonts w:ascii="仿宋_GB2312" w:hAnsi="仿宋_GB2312" w:cs="仿宋_GB2312" w:eastAsia="仿宋_GB2312"/>
                <w:sz w:val="24"/>
                <w:color w:val="000000"/>
              </w:rPr>
              <w:t>2025年中央财政其他国土绿化项目</w:t>
            </w:r>
            <w:r>
              <w:rPr>
                <w:rFonts w:ascii="仿宋_GB2312" w:hAnsi="仿宋_GB2312" w:cs="仿宋_GB2312" w:eastAsia="仿宋_GB2312"/>
                <w:sz w:val="24"/>
                <w:color w:val="000000"/>
              </w:rPr>
              <w:t>，黎坪林场项目区共需用工</w:t>
            </w:r>
            <w:r>
              <w:rPr>
                <w:rFonts w:ascii="仿宋_GB2312" w:hAnsi="仿宋_GB2312" w:cs="仿宋_GB2312" w:eastAsia="仿宋_GB2312"/>
                <w:sz w:val="24"/>
                <w:color w:val="000000"/>
              </w:rPr>
              <w:t>21400 个工日。</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合同签订后2026年4月底前完工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南郑区国有黎坪林场34林班、35林班、37林班和 47林班范围内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达到支付条件后一次性支付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法定代表人或授权委托书</w:t>
            </w:r>
          </w:p>
        </w:tc>
        <w:tc>
          <w:tcPr>
            <w:tcW w:type="dxa" w:w="3322"/>
          </w:tcPr>
          <w:p>
            <w:pPr>
              <w:pStyle w:val="null3"/>
            </w:pPr>
            <w:r>
              <w:rPr>
                <w:rFonts w:ascii="仿宋_GB2312" w:hAnsi="仿宋_GB2312" w:cs="仿宋_GB2312" w:eastAsia="仿宋_GB2312"/>
              </w:rPr>
              <w:t>法定代表人或负责人直接参与投标时需提供身份证复印件加盖公章，被授权人参与投标时需提供法定代表人或负责人授权委托书（附法定代表人或负责人及被授权人身份证复印件）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符合招标文件要求（投标人应当使用纳入陕西 省政府采购综合管理平台数字证书互认范围的 数字证书及签章进行系统操作。(投标人对其系 统操作行为和电子签章确认的事项承担法律责 任)</w:t>
            </w:r>
          </w:p>
        </w:tc>
        <w:tc>
          <w:tcPr>
            <w:tcW w:type="dxa" w:w="1661"/>
          </w:tcPr>
          <w:p>
            <w:pPr>
              <w:pStyle w:val="null3"/>
            </w:pPr>
            <w:r>
              <w:rPr>
                <w:rFonts w:ascii="仿宋_GB2312" w:hAnsi="仿宋_GB2312" w:cs="仿宋_GB2312" w:eastAsia="仿宋_GB2312"/>
              </w:rPr>
              <w:t>开标一览表 投标函 中小企业声明函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服务期、质量</w:t>
            </w:r>
          </w:p>
        </w:tc>
        <w:tc>
          <w:tcPr>
            <w:tcW w:type="dxa" w:w="3322"/>
          </w:tcPr>
          <w:p>
            <w:pPr>
              <w:pStyle w:val="null3"/>
            </w:pPr>
            <w:r>
              <w:rPr>
                <w:rFonts w:ascii="仿宋_GB2312" w:hAnsi="仿宋_GB2312" w:cs="仿宋_GB2312" w:eastAsia="仿宋_GB2312"/>
              </w:rPr>
              <w:t>服务期限及质量满足招标文件要求</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服务内容</w:t>
            </w:r>
          </w:p>
        </w:tc>
        <w:tc>
          <w:tcPr>
            <w:tcW w:type="dxa" w:w="3322"/>
          </w:tcPr>
          <w:p>
            <w:pPr>
              <w:pStyle w:val="null3"/>
            </w:pPr>
            <w:r>
              <w:rPr>
                <w:rFonts w:ascii="仿宋_GB2312" w:hAnsi="仿宋_GB2312" w:cs="仿宋_GB2312" w:eastAsia="仿宋_GB2312"/>
              </w:rPr>
              <w:t>服务内容及商务应答满足招标文件要求，无采购人无法接受的附加条件。</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项目实施技术方案</w:t>
            </w:r>
          </w:p>
        </w:tc>
        <w:tc>
          <w:tcPr>
            <w:tcW w:type="dxa" w:w="2492"/>
          </w:tcPr>
          <w:p>
            <w:pPr>
              <w:pStyle w:val="null3"/>
            </w:pPr>
            <w:r>
              <w:rPr>
                <w:rFonts w:ascii="仿宋_GB2312" w:hAnsi="仿宋_GB2312" w:cs="仿宋_GB2312" w:eastAsia="仿宋_GB2312"/>
              </w:rPr>
              <w:t>充分理解项目背景和内容，根据项目实际情况，提供详细的项目实施服务方案，包括但不限于苗木质量控制措施及运输方案、森林修复方案、管护方案、清林方案等。方案科学、合理、可行、全面计20分。每有一项内容缺陷按缺陷程度扣1分，直至本项分扣完为止。 内容缺陷是指：内容有所缺失、理解不够深刻、现状不够熟悉、各项指标把握情况不够准确、不符合项目实际情况等。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工作进度计划安排</w:t>
            </w:r>
          </w:p>
        </w:tc>
        <w:tc>
          <w:tcPr>
            <w:tcW w:type="dxa" w:w="2492"/>
          </w:tcPr>
          <w:p>
            <w:pPr>
              <w:pStyle w:val="null3"/>
            </w:pPr>
            <w:r>
              <w:rPr>
                <w:rFonts w:ascii="仿宋_GB2312" w:hAnsi="仿宋_GB2312" w:cs="仿宋_GB2312" w:eastAsia="仿宋_GB2312"/>
              </w:rPr>
              <w:t>各项工作进度计划安排合理、工作全面，技术方法、工作流程清晰可行，有可操作性和必要的保障措施，针对其服务流程的完整性、业务分工的清晰程度、工作实施的可行性及完成时间等进行评审: 服务流程完整、业务分工清晰、工作实施可行性强计15 分。每有一项内容缺陷按缺陷程度扣1分，直至本项分扣完为止。 内容缺陷是指：内容有所缺失、理解不够深刻、现状不够熟悉、各项指标把握情况不够准确、不符合项目实际情况等。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质量保证体系完善，措施合理，供应商应提供针对本项目的质量保障措施和承诺。质量保障措施和承诺科学合理、可行、全面计 15分。每有一项内容缺陷按缺陷程度扣1分，直至本项分扣完为止。 内容缺陷是指：内容有所缺失、理解不够深刻、现状不够熟悉、各项指标把握情况不够准确、不符合项目实际情况等。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根据项目采购需求编制详细完整，切实可行的安全防护措施，内容应包含作业人员安全防护管理及林区作业防火措施等，措施科学合理、可行、全面计 15 分。每有一项内容缺陷按缺陷程度扣1分，直至本项分扣完为止。 内容缺陷是指：内容有所缺失、理解不够深刻、现状不够熟悉、各项指标把握情况不够准确、不符合项目实际情况等。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针对项目可能出现的各类突发情况，制定相应的应急处理措施。应急处理措施科学、合理计 10分。每有一项内容缺陷按缺陷程度扣1分，直至本项分扣完为止。 内容缺陷是指：内容有所缺失、理解不够深刻、现状不够熟悉、各项指标把握情况不够准确、不符合项目实际情况等。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项目所需作业工具配置</w:t>
            </w:r>
          </w:p>
        </w:tc>
        <w:tc>
          <w:tcPr>
            <w:tcW w:type="dxa" w:w="2492"/>
          </w:tcPr>
          <w:p>
            <w:pPr>
              <w:pStyle w:val="null3"/>
            </w:pPr>
            <w:r>
              <w:rPr>
                <w:rFonts w:ascii="仿宋_GB2312" w:hAnsi="仿宋_GB2312" w:cs="仿宋_GB2312" w:eastAsia="仿宋_GB2312"/>
              </w:rPr>
              <w:t>投标供应商针对本项目所需作业工具配置明细（需提供详细作业工具清单），能够按照招标文件要求完成作业任务。配置合理、全面计5 分；配置基本合理可行计 3分，配置欠缺、无实质性内容计 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用工承诺</w:t>
            </w:r>
          </w:p>
        </w:tc>
        <w:tc>
          <w:tcPr>
            <w:tcW w:type="dxa" w:w="2492"/>
          </w:tcPr>
          <w:p>
            <w:pPr>
              <w:pStyle w:val="null3"/>
            </w:pPr>
            <w:r>
              <w:rPr>
                <w:rFonts w:ascii="仿宋_GB2312" w:hAnsi="仿宋_GB2312" w:cs="仿宋_GB2312" w:eastAsia="仿宋_GB2312"/>
              </w:rPr>
              <w:t>供应商须承诺项目建设区附近镇村劳动力不少于50人的用工量至项目竣工，提供承诺书的得5分，未提供承诺书的不得分；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 2022年1月1日至今同类项目业绩，投标文件中附有其业绩证明材料 （中标或成交通知书或合同复印件加盖公章）每提供一个计2.5分，满分5分。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1、评标基准价的计算： 满足招标文件实质性要求且投标报价中最低的报价为评标基准价，其报价分为满分。 2、其他投标人的报价分计算： 投标报价得分=（评标基准价/投标报价）×10。 3、评审说明： ①符合政府采购政策的供应商，其投标报价按照折扣后的进行优惠评审。②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