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版本号：[ZFCG-2025051820251015001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牟家坝镇2025年通组路(第二次)建设项目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[ZFCG-20250518</w:t>
      </w:r>
      <w:r>
        <w:br/>
      </w:r>
      <w:r>
        <w:br/>
      </w:r>
      <w:r>
        <w:br/>
      </w:r>
    </w:p>
    <w:p>
      <w:pPr>
        <w:pStyle w:val="null3"/>
        <w:jc w:val="center"/>
        <w:outlineLvl w:val="2"/>
      </w:pPr>
      <w:r>
        <w:rPr>
          <w:rFonts w:ascii="仿宋_GB2312" w:hAnsi="仿宋_GB2312" w:cs="仿宋_GB2312" w:eastAsia="仿宋_GB2312"/>
          <w:sz w:val="28"/>
          <w:b/>
        </w:rPr>
        <w:t>汉中市南郑区牟家坝镇人民政府</w:t>
      </w:r>
    </w:p>
    <w:p>
      <w:pPr>
        <w:pStyle w:val="null3"/>
        <w:jc w:val="center"/>
        <w:outlineLvl w:val="2"/>
      </w:pPr>
      <w:r>
        <w:rPr>
          <w:rFonts w:ascii="仿宋_GB2312" w:hAnsi="仿宋_GB2312" w:cs="仿宋_GB2312" w:eastAsia="仿宋_GB2312"/>
          <w:sz w:val="28"/>
          <w:b/>
        </w:rPr>
        <w:t>中科融创（陕西）项目咨询有限公司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中科融创（陕西）项目咨询有限公司</w:t>
      </w:r>
      <w:r>
        <w:rPr>
          <w:rFonts w:ascii="仿宋_GB2312" w:hAnsi="仿宋_GB2312" w:cs="仿宋_GB2312" w:eastAsia="仿宋_GB2312"/>
        </w:rPr>
        <w:t>（以下简称“代理机构”）受</w:t>
      </w:r>
      <w:r>
        <w:rPr>
          <w:rFonts w:ascii="仿宋_GB2312" w:hAnsi="仿宋_GB2312" w:cs="仿宋_GB2312" w:eastAsia="仿宋_GB2312"/>
        </w:rPr>
        <w:t>汉中市南郑区牟家坝镇人民政府</w:t>
      </w:r>
      <w:r>
        <w:rPr>
          <w:rFonts w:ascii="仿宋_GB2312" w:hAnsi="仿宋_GB2312" w:cs="仿宋_GB2312" w:eastAsia="仿宋_GB2312"/>
        </w:rPr>
        <w:t>委托，拟对</w:t>
      </w:r>
      <w:r>
        <w:rPr>
          <w:rFonts w:ascii="仿宋_GB2312" w:hAnsi="仿宋_GB2312" w:cs="仿宋_GB2312" w:eastAsia="仿宋_GB2312"/>
        </w:rPr>
        <w:t>牟家坝镇2025年通组路(第二次)建设项目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[ZFCG-20250518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牟家坝镇2025年通组路(第二次)建设项目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牟家坝镇2025年通组道路(第二次)建设项目主要建设内容如下:牟家坝镇2025年通组道路(第二次)关公庙村二组建设项目，主要修建3.5米宽混凝土路面1.2公里。牟家坝镇2025年通组道路(第二次)茶房寺村四组建设项目，主要修建3.5米宽混凝土路面1.5公里。牟家坝镇2025年通组道路(第二次)茶房寺村二组建设项目，主要修建3.5米宽混凝土路面0.7公里。牟家坝镇2025年通组道路(第二次)祖师殿二组建设项目，主要修建3.5米宽混凝土路面0.49公里。牟家坝镇2025年通组道路柳沟村三组建设项目，主要修建3.5米宽混凝土路面1.1公里。牟家坝镇2025年通组道路王家沟村六组建设项目，主要修建3.5米宽混凝土路面1.2公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采购包1（牟家坝镇2025年通组路(第二次)建设项目）：属于专门面向中小企业采购。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代表身份证明：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2、有效的主体资格证明：供应商为具有独立承担民事责任能力的法人或其他组织或自然人，并出具合法有效的营业执照或事业法人证书等国家规定的相关证明，自然人参与的提供其身份证明;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3、企业资质要求：供应商具有行政主管部门核发的公路工程施工总承包三级（含三级）及以上资质，且具有有效的安全生产许可证</w:t>
      </w:r>
    </w:p>
    <w:p>
      <w:pPr>
        <w:pStyle w:val="null3"/>
      </w:pPr>
      <w:r>
        <w:rPr>
          <w:rFonts w:ascii="仿宋_GB2312" w:hAnsi="仿宋_GB2312" w:cs="仿宋_GB2312" w:eastAsia="仿宋_GB2312"/>
        </w:rPr>
        <w:t>4、项目经理资质要求：拟派项目经理须具备公路工程专业二级（含二级）以上注册建造师资格和安全生产考核合格B证，且无在建项目</w:t>
      </w:r>
    </w:p>
    <w:p>
      <w:pPr>
        <w:pStyle w:val="null3"/>
      </w:pPr>
      <w:r>
        <w:rPr>
          <w:rFonts w:ascii="仿宋_GB2312" w:hAnsi="仿宋_GB2312" w:cs="仿宋_GB2312" w:eastAsia="仿宋_GB2312"/>
        </w:rPr>
        <w:t>5、投标保证金：需提供投标保证金转账截图</w:t>
      </w:r>
    </w:p>
    <w:p>
      <w:pPr>
        <w:pStyle w:val="null3"/>
      </w:pPr>
      <w:r>
        <w:rPr>
          <w:rFonts w:ascii="仿宋_GB2312" w:hAnsi="仿宋_GB2312" w:cs="仿宋_GB2312" w:eastAsia="仿宋_GB2312"/>
        </w:rPr>
        <w:t>6、汉中市政府采购供应商资格承诺函：供应商须提供《汉中市政府采购供应商资格承诺函》;</w:t>
      </w:r>
    </w:p>
    <w:p>
      <w:pPr>
        <w:pStyle w:val="null3"/>
      </w:pPr>
      <w:r>
        <w:rPr>
          <w:rFonts w:ascii="仿宋_GB2312" w:hAnsi="仿宋_GB2312" w:cs="仿宋_GB2312" w:eastAsia="仿宋_GB2312"/>
        </w:rPr>
        <w:t>7、本项目不接受联合体磋商；：本项目不接受联合体磋商（提供非联合体声明）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汉中市南郑区牟家坝镇人民政府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牟家坝镇人民政府中街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汉中市南郑区牟家坝镇人民政府府经办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18291662220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中科融创（陕西）项目咨询有限公司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陕西省汉中市汉台区滨江西路天汉文化公园E区4号楼120、121、128b</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粟星玉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13379465585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采购包1：2,400,039.00元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开户名称：中科融创（陕西）项目咨询有限公司</w:t>
            </w:r>
          </w:p>
          <w:p>
            <w:pPr>
              <w:pStyle w:val="null3"/>
            </w:pPr>
            <w:r>
              <w:rPr>
                <w:rFonts w:ascii="仿宋_GB2312" w:hAnsi="仿宋_GB2312" w:cs="仿宋_GB2312" w:eastAsia="仿宋_GB2312"/>
              </w:rPr>
              <w:t>开户银行：中国银行汉中劳动西路支行</w:t>
            </w:r>
          </w:p>
          <w:p>
            <w:pPr>
              <w:pStyle w:val="null3"/>
            </w:pPr>
            <w:r>
              <w:rPr>
                <w:rFonts w:ascii="仿宋_GB2312" w:hAnsi="仿宋_GB2312" w:cs="仿宋_GB2312" w:eastAsia="仿宋_GB2312"/>
              </w:rPr>
              <w:t>银行账号：102504125152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代理服务费收费标准：代理服务费收费标准：本项目收取代理服务费 代理服务费用收取对象：中标/成交供应商 代理服务费收费标准：采购代理服务费的金额按照国家计委颁发的《采购代理服务收费管理暂行办法》（计价格[2002]1980号）、国家发展改革委员会办公厅颁发的《关于采购代理服务收费有关问题的通知》</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汉中市南郑区牟家坝镇人民政府</w:t>
      </w:r>
      <w:r>
        <w:rPr>
          <w:rFonts w:ascii="仿宋_GB2312" w:hAnsi="仿宋_GB2312" w:cs="仿宋_GB2312" w:eastAsia="仿宋_GB2312"/>
        </w:rPr>
        <w:t>和</w:t>
      </w:r>
      <w:r>
        <w:rPr>
          <w:rFonts w:ascii="仿宋_GB2312" w:hAnsi="仿宋_GB2312" w:cs="仿宋_GB2312" w:eastAsia="仿宋_GB2312"/>
        </w:rPr>
        <w:t>中科融创（陕西）项目咨询有限公司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汉中市南郑区牟家坝镇人民政府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中科融创（陕西）项目咨询有限公司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汉中市南郑区牟家坝镇人民政府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中科融创（陕西）项目咨询有限公司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联系人：粟星玉</w:t>
      </w:r>
    </w:p>
    <w:p>
      <w:pPr>
        <w:pStyle w:val="null3"/>
      </w:pPr>
      <w:r>
        <w:rPr>
          <w:rFonts w:ascii="仿宋_GB2312" w:hAnsi="仿宋_GB2312" w:cs="仿宋_GB2312" w:eastAsia="仿宋_GB2312"/>
        </w:rPr>
        <w:t>联系电话：13379465585</w:t>
      </w:r>
    </w:p>
    <w:p>
      <w:pPr>
        <w:pStyle w:val="null3"/>
      </w:pPr>
      <w:r>
        <w:rPr>
          <w:rFonts w:ascii="仿宋_GB2312" w:hAnsi="仿宋_GB2312" w:cs="仿宋_GB2312" w:eastAsia="仿宋_GB2312"/>
        </w:rPr>
        <w:t>地址：陕西省汉中市汉台区滨江西路天汉文化公园E区4号楼120、121、128b</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2,400,039.00</w:t>
      </w:r>
    </w:p>
    <w:p>
      <w:pPr>
        <w:pStyle w:val="null3"/>
      </w:pPr>
      <w:r>
        <w:rPr>
          <w:rFonts w:ascii="仿宋_GB2312" w:hAnsi="仿宋_GB2312" w:cs="仿宋_GB2312" w:eastAsia="仿宋_GB2312"/>
        </w:rPr>
        <w:t>采购包最高限价（元）: 2,400,039.00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牟家坝镇2025年通组路(第二次)建设项目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2,400,039.00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标的名称：牟家坝镇2025年通组路(第二次)建设项目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牟家坝镇</w:t>
            </w:r>
            <w:r>
              <w:rPr>
                <w:rFonts w:ascii="仿宋_GB2312" w:hAnsi="仿宋_GB2312" w:cs="仿宋_GB2312" w:eastAsia="仿宋_GB2312"/>
                <w:sz w:val="28"/>
              </w:rPr>
              <w:t>2025年通组道路(第二次)建设项目主要</w:t>
            </w:r>
            <w:r>
              <w:rPr>
                <w:rFonts w:ascii="仿宋_GB2312" w:hAnsi="仿宋_GB2312" w:cs="仿宋_GB2312" w:eastAsia="仿宋_GB2312"/>
                <w:sz w:val="28"/>
              </w:rPr>
              <w:t>建设内容</w:t>
            </w:r>
            <w:r>
              <w:rPr>
                <w:rFonts w:ascii="仿宋_GB2312" w:hAnsi="仿宋_GB2312" w:cs="仿宋_GB2312" w:eastAsia="仿宋_GB2312"/>
                <w:sz w:val="28"/>
              </w:rPr>
              <w:t>如下</w:t>
            </w:r>
            <w:r>
              <w:rPr>
                <w:rFonts w:ascii="仿宋_GB2312" w:hAnsi="仿宋_GB2312" w:cs="仿宋_GB2312" w:eastAsia="仿宋_GB2312"/>
                <w:sz w:val="28"/>
              </w:rPr>
              <w:t>:</w:t>
            </w:r>
            <w:r>
              <w:rPr>
                <w:rFonts w:ascii="仿宋_GB2312" w:hAnsi="仿宋_GB2312" w:cs="仿宋_GB2312" w:eastAsia="仿宋_GB2312"/>
                <w:sz w:val="28"/>
              </w:rPr>
              <w:t>牟家坝镇</w:t>
            </w:r>
            <w:r>
              <w:rPr>
                <w:rFonts w:ascii="仿宋_GB2312" w:hAnsi="仿宋_GB2312" w:cs="仿宋_GB2312" w:eastAsia="仿宋_GB2312"/>
                <w:sz w:val="28"/>
              </w:rPr>
              <w:t>2025年通组道路(第二次)关公庙村二组建设项目，主要修建3.5米宽混凝土路面1.2公里。牟家坝镇2025年通组道路(第二次)茶房寺村四组建设项目，主要修建3.5米宽混凝土路面1.5公里。牟家坝镇2025年通组道路(第二次)茶房寺村二组建设项目，主要修建3.5米宽混凝土路面0.7公里。牟家坝镇2025年通组道路(第二次)祖师殿二组建设项目，主要修建3.5米宽混凝土路面0.49公里。牟家坝镇2025年通组道路柳沟村三组建设项目，主要修建3.5米宽混凝土路面1.1公里。牟家坝镇2025年通组道路王家沟村六组建设项目，主要修建3.5米宽混凝土路面1.2公里。</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0"/>
              <w:jc w:val="both"/>
            </w:pPr>
            <w:r>
              <w:rPr>
                <w:rFonts w:ascii="仿宋_GB2312" w:hAnsi="仿宋_GB2312" w:cs="仿宋_GB2312" w:eastAsia="仿宋_GB2312"/>
                <w:sz w:val="28"/>
                <w:color w:val="000000"/>
              </w:rPr>
              <w:t>1、《交通运输部公告【2017】51号颁布的《公路工程标准施工招标文件（2018版）》；</w:t>
            </w:r>
          </w:p>
          <w:p>
            <w:pPr>
              <w:pStyle w:val="null3"/>
              <w:ind w:firstLine="560"/>
              <w:jc w:val="both"/>
            </w:pPr>
            <w:r>
              <w:rPr>
                <w:rFonts w:ascii="仿宋_GB2312" w:hAnsi="仿宋_GB2312" w:cs="仿宋_GB2312" w:eastAsia="仿宋_GB2312"/>
                <w:sz w:val="28"/>
                <w:color w:val="000000"/>
              </w:rPr>
              <w:t>2、交通运输部公告【2018】86号颁布的《公路工程基本建设项目概算预算编制办法》（JTG3830-2018）；</w:t>
            </w:r>
          </w:p>
          <w:p>
            <w:pPr>
              <w:pStyle w:val="null3"/>
              <w:ind w:firstLine="560"/>
              <w:jc w:val="both"/>
            </w:pPr>
            <w:r>
              <w:rPr>
                <w:rFonts w:ascii="仿宋_GB2312" w:hAnsi="仿宋_GB2312" w:cs="仿宋_GB2312" w:eastAsia="仿宋_GB2312"/>
                <w:sz w:val="28"/>
                <w:color w:val="000000"/>
              </w:rPr>
              <w:t>3、交通运输部公告【2018】86号颁布的《公路工程预算定额》（JTG/T3832-2018）；</w:t>
            </w:r>
          </w:p>
          <w:p>
            <w:pPr>
              <w:pStyle w:val="null3"/>
              <w:ind w:firstLine="560"/>
              <w:jc w:val="both"/>
            </w:pPr>
            <w:r>
              <w:rPr>
                <w:rFonts w:ascii="仿宋_GB2312" w:hAnsi="仿宋_GB2312" w:cs="仿宋_GB2312" w:eastAsia="仿宋_GB2312"/>
                <w:sz w:val="28"/>
                <w:color w:val="000000"/>
              </w:rPr>
              <w:t>4、交通运输部公告【2018】86号颁布的《公路工程机械台班费用定额》（JTG/T3833-2018）；</w:t>
            </w:r>
          </w:p>
          <w:p>
            <w:pPr>
              <w:pStyle w:val="null3"/>
              <w:ind w:firstLine="560"/>
              <w:jc w:val="both"/>
            </w:pPr>
            <w:r>
              <w:rPr>
                <w:rFonts w:ascii="仿宋_GB2312" w:hAnsi="仿宋_GB2312" w:cs="仿宋_GB2312" w:eastAsia="仿宋_GB2312"/>
                <w:sz w:val="28"/>
                <w:color w:val="000000"/>
              </w:rPr>
              <w:t>5、财政部、税务总局、海关总署公告【2019】39号关于《深化增值税改革有关政策的公告》；</w:t>
            </w:r>
          </w:p>
          <w:p>
            <w:pPr>
              <w:pStyle w:val="null3"/>
              <w:ind w:firstLine="560"/>
              <w:jc w:val="both"/>
            </w:pPr>
            <w:r>
              <w:rPr>
                <w:rFonts w:ascii="仿宋_GB2312" w:hAnsi="仿宋_GB2312" w:cs="仿宋_GB2312" w:eastAsia="仿宋_GB2312"/>
                <w:sz w:val="28"/>
                <w:color w:val="000000"/>
              </w:rPr>
              <w:t>6、陕西省交通运输厅文件关于印发《&lt;公路工程建设项目投资估算编制办法&gt;&lt;公路工程建设项目概算预算编制办法&gt;补充规定》的通知（陕交发【2019】93号）；</w:t>
            </w:r>
          </w:p>
          <w:p>
            <w:pPr>
              <w:pStyle w:val="null3"/>
              <w:ind w:firstLine="560"/>
              <w:jc w:val="both"/>
            </w:pPr>
            <w:r>
              <w:rPr>
                <w:rFonts w:ascii="仿宋_GB2312" w:hAnsi="仿宋_GB2312" w:cs="仿宋_GB2312" w:eastAsia="仿宋_GB2312"/>
                <w:sz w:val="28"/>
              </w:rPr>
              <w:t>7. 陕西省人民政府 2012 年第 153 号令《陕西省车船税征收办法》有关规定;</w:t>
            </w:r>
          </w:p>
          <w:p>
            <w:pPr>
              <w:pStyle w:val="null3"/>
              <w:ind w:firstLine="560"/>
              <w:jc w:val="both"/>
            </w:pPr>
            <w:r>
              <w:rPr>
                <w:rFonts w:ascii="仿宋_GB2312" w:hAnsi="仿宋_GB2312" w:cs="仿宋_GB2312" w:eastAsia="仿宋_GB2312"/>
                <w:sz w:val="28"/>
              </w:rPr>
              <w:t>8.财政部税务总局海关总署关于深化增值税改革有关政策的公告(2019)39 号;</w:t>
            </w:r>
          </w:p>
          <w:p>
            <w:pPr>
              <w:pStyle w:val="null3"/>
              <w:ind w:firstLine="560"/>
              <w:jc w:val="both"/>
            </w:pPr>
            <w:r>
              <w:rPr>
                <w:rFonts w:ascii="仿宋_GB2312" w:hAnsi="仿宋_GB2312" w:cs="仿宋_GB2312" w:eastAsia="仿宋_GB2312"/>
                <w:sz w:val="28"/>
              </w:rPr>
              <w:t>9、中庚工程技术设计有限公司设计图纸;</w:t>
            </w:r>
          </w:p>
          <w:p>
            <w:pPr>
              <w:pStyle w:val="null3"/>
              <w:jc w:val="both"/>
            </w:pPr>
            <w:r>
              <w:rPr>
                <w:rFonts w:ascii="仿宋_GB2312" w:hAnsi="仿宋_GB2312" w:cs="仿宋_GB2312" w:eastAsia="仿宋_GB2312"/>
                <w:sz w:val="28"/>
                <w:b/>
              </w:rPr>
              <w:t>三、相关问题说明：</w:t>
            </w:r>
          </w:p>
          <w:p>
            <w:pPr>
              <w:pStyle w:val="null3"/>
              <w:ind w:firstLine="560"/>
              <w:jc w:val="both"/>
            </w:pPr>
            <w:r>
              <w:rPr>
                <w:rFonts w:ascii="仿宋_GB2312" w:hAnsi="仿宋_GB2312" w:cs="仿宋_GB2312" w:eastAsia="仿宋_GB2312"/>
                <w:sz w:val="28"/>
              </w:rPr>
              <w:t>无。</w:t>
            </w:r>
          </w:p>
          <w:p>
            <w:pPr>
              <w:pStyle w:val="null3"/>
              <w:jc w:val="both"/>
            </w:pPr>
            <w:r>
              <w:rPr>
                <w:rFonts w:ascii="仿宋_GB2312" w:hAnsi="仿宋_GB2312" w:cs="仿宋_GB2312" w:eastAsia="仿宋_GB2312"/>
                <w:sz w:val="28"/>
                <w:b/>
              </w:rPr>
              <w:t>四、编制软件：</w:t>
            </w:r>
            <w:r>
              <w:rPr>
                <w:rFonts w:ascii="仿宋_GB2312" w:hAnsi="仿宋_GB2312" w:cs="仿宋_GB2312" w:eastAsia="仿宋_GB2312"/>
                <w:sz w:val="28"/>
              </w:rPr>
              <w:t>同望工程造价管理软件</w:t>
            </w:r>
            <w:r>
              <w:rPr>
                <w:rFonts w:ascii="仿宋_GB2312" w:hAnsi="仿宋_GB2312" w:cs="仿宋_GB2312" w:eastAsia="仿宋_GB2312"/>
                <w:sz w:val="28"/>
              </w:rPr>
              <w:t>v11.0</w:t>
            </w:r>
          </w:p>
          <w:p>
            <w:pPr>
              <w:pStyle w:val="null3"/>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供应商针对本项目的施工，必须达到国家及行业现行技术规范标准，符合国家及行业验收合格标准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 30日历天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技术方案.docx 已标价工程量清单 中小企业声明函 强制优先采购产品承诺函 响应文件封面 项目管理机构组成表 残疾人福利性单位声明函 报价函 标的清单 供应商类似项目业绩一览表 资格证明材料.docx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具有良好的商业信誉和健全的财务会计制度，供应商应按照汉中市财政局《关于全面推行政府采购供应商基本资格条件明承诺制的通知》(汉采办采管(2024)20号)文件要求，提供《汉中市政府采购供应商资格承诺函》</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供应商具有行政主管部门核发的公路工程施工总承包三级（含三级）及以上资质，且具有有效的安全生产许可证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拟派项目经理须具备公路工程专业二级（含二级）以上注册建造师资格和安全生产考核合格B证，且无在建项目</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需提供投标保证金转账截图</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本项目不接受联合体磋商（提供非联合体声明）</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技术方案.docx 已标价工程量清单 中小企业声明函 强制优先采购产品承诺函 响应文件封面 项目管理机构组成表 残疾人福利性单位声明函 报价函 标的清单 供应商类似项目业绩一览表 资格证明材料.docx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磋商响应文件语言、计量单位、报价货币</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技术方案.docx 已标价工程量清单 中小企业声明函 强制优先采购产品承诺函 响应文件封面 项目管理机构组成表 残疾人福利性单位声明函 报价函 标的清单 供应商类似项目业绩一览表 资格证明材料.docx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技术方案.docx 已标价工程量清单 中小企业声明函 强制优先采购产品承诺函 响应文件封面 项目管理机构组成表 残疾人福利性单位声明函 报价函 标的清单 供应商类似项目业绩一览表 资格证明材料.docx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对本项目工程质量保证措施进行综合评审。(保证措施科学、合理、可行性高得计10.1-15分；保证措施较合理、内容完整计5.1-10分；保证措施不完整、可行性较差计1.0-5分。未提供此项内容不得分)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安全生产、文明施工的保证措施及环境保护措施</w:t>
            </w:r>
          </w:p>
        </w:tc>
        <w:tc>
          <w:tcPr>
            <w:tcW w:type="dxa" w:w="2492"/>
          </w:tcPr>
          <w:p>
            <w:pPr>
              <w:pStyle w:val="null3"/>
            </w:pPr>
            <w:r>
              <w:rPr>
                <w:rFonts w:ascii="仿宋_GB2312" w:hAnsi="仿宋_GB2312" w:cs="仿宋_GB2312" w:eastAsia="仿宋_GB2312"/>
              </w:rPr>
              <w:t>对本项目安全生产、文明施工的保证措施及环境保护措施进行综合评审。（保证措施科学、合理、可行性高计10.1-15分；保证措施较合理、内容完整计5.1-10分；保证措施不完整、可行性较差计1.0-5分。未提供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工期的保证措施</w:t>
            </w:r>
          </w:p>
        </w:tc>
        <w:tc>
          <w:tcPr>
            <w:tcW w:type="dxa" w:w="2492"/>
          </w:tcPr>
          <w:p>
            <w:pPr>
              <w:pStyle w:val="null3"/>
            </w:pPr>
            <w:r>
              <w:rPr>
                <w:rFonts w:ascii="仿宋_GB2312" w:hAnsi="仿宋_GB2312" w:cs="仿宋_GB2312" w:eastAsia="仿宋_GB2312"/>
              </w:rPr>
              <w:t>对本项目工期的保证措施进行综合评审。（保证措施科学、合理、可行性高计7.1-10分；保证措施较合理、内容完整计4.1-7分；保证措施不完整、可行性较差计1.0-4分；未提供此项内容不得分）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施工方案和项目经理部组成人员</w:t>
            </w:r>
          </w:p>
        </w:tc>
        <w:tc>
          <w:tcPr>
            <w:tcW w:type="dxa" w:w="2492"/>
          </w:tcPr>
          <w:p>
            <w:pPr>
              <w:pStyle w:val="null3"/>
            </w:pPr>
            <w:r>
              <w:rPr>
                <w:rFonts w:ascii="仿宋_GB2312" w:hAnsi="仿宋_GB2312" w:cs="仿宋_GB2312" w:eastAsia="仿宋_GB2312"/>
              </w:rPr>
              <w:t>对本项目施工方案和项目经理部组成人员进行综合评审。（施工方案完整详细、项目部人员岗位配置齐全充足计15.1-20分；施工方案较为简单、项目部组成基本满足施工要求计8.1-15分；施工方案有缺漏，项目部组成不够完善计1.0-8分；未提供此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质量保证及服务承诺</w:t>
            </w:r>
          </w:p>
        </w:tc>
        <w:tc>
          <w:tcPr>
            <w:tcW w:type="dxa" w:w="2492"/>
          </w:tcPr>
          <w:p>
            <w:pPr>
              <w:pStyle w:val="null3"/>
            </w:pPr>
            <w:r>
              <w:rPr>
                <w:rFonts w:ascii="仿宋_GB2312" w:hAnsi="仿宋_GB2312" w:cs="仿宋_GB2312" w:eastAsia="仿宋_GB2312"/>
              </w:rPr>
              <w:t>对本项目质量保证及服务承诺进行综合评审。（质量保证及服务承诺详尽，符合项目特点计4.1-5分；保证措施及服务承诺较为简单计2.1-4分；保证措施及服务承诺不够完善计1-2分。未提供此项内容不得分）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1、供应商提供2022年至今完成的类似业绩证明，每提供一份得2.5分，最高得5分； 注：业绩须是供应商完成的类似项目，提供中标通知书或协议书（合同）原件或加盖公章的复印件，否则不作为加分项。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2、以满足本次竞争性磋商文件要求的最低报价为评审基准价，其价格为满分； 3、不享有政策优惠条件的投标供应商报价得分=（评审基准价/报价）×30 4、全部符合政策优惠条件的投标供应商报价得分=[评审基准价/报价*(1-10%)]×30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详见附件：项目专用合同条款.docx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