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版本号：SXJC-HZ-20252920251017001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2025年南郑区协税镇王庄村秸秆综合利用建设项目-农机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SXJC-HZ-202529</w:t>
      </w:r>
      <w:r>
        <w:br/>
      </w:r>
      <w:r>
        <w:br/>
      </w:r>
      <w:r>
        <w:br/>
      </w:r>
    </w:p>
    <w:p>
      <w:pPr>
        <w:pStyle w:val="null3"/>
        <w:jc w:val="center"/>
        <w:outlineLvl w:val="2"/>
      </w:pPr>
      <w:r>
        <w:rPr>
          <w:rFonts w:ascii="仿宋_GB2312" w:hAnsi="仿宋_GB2312" w:cs="仿宋_GB2312" w:eastAsia="仿宋_GB2312"/>
          <w:sz w:val="28"/>
          <w:b/>
        </w:rPr>
        <w:t>汉中市南郑区协税镇人民政府</w:t>
      </w:r>
    </w:p>
    <w:p>
      <w:pPr>
        <w:pStyle w:val="null3"/>
        <w:jc w:val="center"/>
        <w:outlineLvl w:val="2"/>
      </w:pPr>
      <w:r>
        <w:rPr>
          <w:rFonts w:ascii="仿宋_GB2312" w:hAnsi="仿宋_GB2312" w:cs="仿宋_GB2312" w:eastAsia="仿宋_GB2312"/>
          <w:sz w:val="28"/>
          <w:b/>
        </w:rPr>
        <w:t>陕西加诚项目管理有限公司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陕西加诚项目管理有限公司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汉中市南郑区协税镇人民政府</w:t>
      </w:r>
      <w:r>
        <w:rPr>
          <w:rFonts w:ascii="仿宋_GB2312" w:hAnsi="仿宋_GB2312" w:cs="仿宋_GB2312" w:eastAsia="仿宋_GB2312"/>
        </w:rPr>
        <w:t>委托，拟对</w:t>
      </w:r>
      <w:r>
        <w:rPr>
          <w:rFonts w:ascii="仿宋_GB2312" w:hAnsi="仿宋_GB2312" w:cs="仿宋_GB2312" w:eastAsia="仿宋_GB2312"/>
        </w:rPr>
        <w:t>2025年南郑区协税镇王庄村秸秆综合利用建设项目-农机</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SXJC-HZ-202529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2025年南郑区协税镇王庄村秸秆综合利用建设项目-农机</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购置全自动秸秆饲料打捆机和拖拉机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采购包1（2025年南郑区协税镇王庄村秸秆综合利用建设项目-农机）：属于专门面向中小企业采购。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1、特定资格要求：1、具有独立承担民事责任能力的法人、其他组织或自然人，并出具合法有效的营业执照或事业单位法人证书等国家规定的相关证明，自然人参与的提供其身份证明。2、 供应商需提供加盖公章的《汉中市政府采购供应商资格承诺函》。3、法定代表人身份证明或授权委托书：法定代表人参加投标须提供《法定代表人身份证明》及身份证扫描件；法定代表人授权他人参加投标，须提供《法定代表人授权委托书》。 4、本项目不接受联合体。</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汉中市南郑区协税镇人民政府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汉中市南郑区协税镇协税街1号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汉中市南郑区协税镇人民政府经办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陕西加诚项目管理有限公司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陕西省汉中市南郑区大河坎镇海韵丹桂园售楼部东侧三楼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0916-5308956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采购包1：1,933,918.10元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开户名称：陕西加诚项目管理有限公司</w:t>
            </w:r>
          </w:p>
          <w:p>
            <w:pPr>
              <w:pStyle w:val="null3"/>
            </w:pPr>
            <w:r>
              <w:rPr>
                <w:rFonts w:ascii="仿宋_GB2312" w:hAnsi="仿宋_GB2312" w:cs="仿宋_GB2312" w:eastAsia="仿宋_GB2312"/>
              </w:rPr>
              <w:t>开户银行：中国建设银行股份有限公司汉中开发区支行</w:t>
            </w:r>
          </w:p>
          <w:p>
            <w:pPr>
              <w:pStyle w:val="null3"/>
            </w:pPr>
            <w:r>
              <w:rPr>
                <w:rFonts w:ascii="仿宋_GB2312" w:hAnsi="仿宋_GB2312" w:cs="仿宋_GB2312" w:eastAsia="仿宋_GB2312"/>
              </w:rPr>
              <w:t>银行账号：61050165711100000724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汉中市南郑区协税镇人民政府</w:t>
      </w:r>
      <w:r>
        <w:rPr>
          <w:rFonts w:ascii="仿宋_GB2312" w:hAnsi="仿宋_GB2312" w:cs="仿宋_GB2312" w:eastAsia="仿宋_GB2312"/>
        </w:rPr>
        <w:t>和</w:t>
      </w:r>
      <w:r>
        <w:rPr>
          <w:rFonts w:ascii="仿宋_GB2312" w:hAnsi="仿宋_GB2312" w:cs="仿宋_GB2312" w:eastAsia="仿宋_GB2312"/>
        </w:rPr>
        <w:t>陕西加诚项目管理有限公司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汉中市南郑区协税镇人民政府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陕西加诚项目管理有限公司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汉中市南郑区协税镇人民政府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陕西加诚项目管理有限公司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符合国家、省、市现行的规范、技术标准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联系人：陈女士</w:t>
      </w:r>
    </w:p>
    <w:p>
      <w:pPr>
        <w:pStyle w:val="null3"/>
      </w:pPr>
      <w:r>
        <w:rPr>
          <w:rFonts w:ascii="仿宋_GB2312" w:hAnsi="仿宋_GB2312" w:cs="仿宋_GB2312" w:eastAsia="仿宋_GB2312"/>
        </w:rPr>
        <w:t>联系电话：0916-5308956</w:t>
      </w:r>
    </w:p>
    <w:p>
      <w:pPr>
        <w:pStyle w:val="null3"/>
      </w:pPr>
      <w:r>
        <w:rPr>
          <w:rFonts w:ascii="仿宋_GB2312" w:hAnsi="仿宋_GB2312" w:cs="仿宋_GB2312" w:eastAsia="仿宋_GB2312"/>
        </w:rPr>
        <w:t>地址：陕西省汉中市南郑区大河坎镇海韵丹桂园售楼部东侧三楼</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购置全自动秸秆饲料打捆机和拖拉机。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1,933,918.10</w:t>
      </w:r>
    </w:p>
    <w:p>
      <w:pPr>
        <w:pStyle w:val="null3"/>
      </w:pPr>
      <w:r>
        <w:rPr>
          <w:rFonts w:ascii="仿宋_GB2312" w:hAnsi="仿宋_GB2312" w:cs="仿宋_GB2312" w:eastAsia="仿宋_GB2312"/>
        </w:rPr>
        <w:t>采购包最高限价（元）: 1,933,918.10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2025年南郑区协税镇王庄村秸秆综合利用建设项目-农机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1,933,918.10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标的名称：2025年南郑区协税镇王庄村秸秆综合利用建设项目-农机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农机参数</w:t>
            </w:r>
          </w:p>
          <w:tbl>
            <w:tblPr>
              <w:tblBorders>
                <w:top w:val="none" w:color="000000" w:sz="4"/>
                <w:left w:val="none" w:color="000000" w:sz="4"/>
                <w:bottom w:val="none" w:color="000000" w:sz="4"/>
                <w:right w:val="none" w:color="000000" w:sz="4"/>
                <w:insideH w:val="none"/>
                <w:insideV w:val="none"/>
              </w:tblBorders>
            </w:tblPr>
            <w:tblGrid>
              <w:gridCol w:w="132"/>
              <w:gridCol w:w="303"/>
              <w:gridCol w:w="94"/>
              <w:gridCol w:w="83"/>
              <w:gridCol w:w="1941"/>
            </w:tblGrid>
            <w:tr>
              <w:tc>
                <w:tcPr>
                  <w:tcW w:type="dxa" w:w="13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序号</w:t>
                  </w:r>
                </w:p>
              </w:tc>
              <w:tc>
                <w:tcPr>
                  <w:tcW w:type="dxa" w:w="30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名称</w:t>
                  </w:r>
                </w:p>
              </w:tc>
              <w:tc>
                <w:tcPr>
                  <w:tcW w:type="dxa" w:w="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数量</w:t>
                  </w:r>
                </w:p>
              </w:tc>
              <w:tc>
                <w:tcPr>
                  <w:tcW w:type="dxa" w:w="8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单位</w:t>
                  </w:r>
                </w:p>
              </w:tc>
              <w:tc>
                <w:tcPr>
                  <w:tcW w:type="dxa" w:w="19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参数</w:t>
                  </w:r>
                </w:p>
              </w:tc>
            </w:tr>
            <w:tr>
              <w:tc>
                <w:tcPr>
                  <w:tcW w:type="dxa" w:w="13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1</w:t>
                  </w:r>
                </w:p>
              </w:tc>
              <w:tc>
                <w:tcPr>
                  <w:tcW w:type="dxa" w:w="30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轮式拖拉机</w:t>
                  </w:r>
                </w:p>
              </w:tc>
              <w:tc>
                <w:tcPr>
                  <w:tcW w:type="dxa" w:w="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8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1941"/>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▲功率：≥</w:t>
                  </w:r>
                  <w:r>
                    <w:rPr>
                      <w:rFonts w:ascii="仿宋_GB2312" w:hAnsi="仿宋_GB2312" w:cs="仿宋_GB2312" w:eastAsia="仿宋_GB2312"/>
                      <w:sz w:val="22"/>
                      <w:color w:val="000000"/>
                    </w:rPr>
                    <w:t>80马力</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前轮</w:t>
                  </w:r>
                  <w:r>
                    <w:rPr>
                      <w:rFonts w:ascii="仿宋_GB2312" w:hAnsi="仿宋_GB2312" w:cs="仿宋_GB2312" w:eastAsia="仿宋_GB2312"/>
                      <w:sz w:val="22"/>
                      <w:color w:val="000000"/>
                    </w:rPr>
                    <w:t>/后轮：8.3-24/11-32甲字水田型轮胎</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轴距：</w:t>
                  </w:r>
                  <w:r>
                    <w:rPr>
                      <w:rFonts w:ascii="仿宋_GB2312" w:hAnsi="仿宋_GB2312" w:cs="仿宋_GB2312" w:eastAsia="仿宋_GB2312"/>
                      <w:sz w:val="22"/>
                      <w:color w:val="000000"/>
                    </w:rPr>
                    <w:t>≥2075mm</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轮距：</w:t>
                  </w:r>
                  <w:r>
                    <w:rPr>
                      <w:rFonts w:ascii="仿宋_GB2312" w:hAnsi="仿宋_GB2312" w:cs="仿宋_GB2312" w:eastAsia="仿宋_GB2312"/>
                      <w:sz w:val="22"/>
                      <w:color w:val="000000"/>
                    </w:rPr>
                    <w:t>≥（前/后）1373/1300mm（可调）</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变速箱档位：</w:t>
                  </w:r>
                  <w:r>
                    <w:rPr>
                      <w:rFonts w:ascii="仿宋_GB2312" w:hAnsi="仿宋_GB2312" w:cs="仿宋_GB2312" w:eastAsia="仿宋_GB2312"/>
                      <w:sz w:val="22"/>
                      <w:color w:val="000000"/>
                    </w:rPr>
                    <w:t>12F+12R</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牵引力</w:t>
                  </w:r>
                  <w:r>
                    <w:rPr>
                      <w:rFonts w:ascii="仿宋_GB2312" w:hAnsi="仿宋_GB2312" w:cs="仿宋_GB2312" w:eastAsia="仿宋_GB2312"/>
                      <w:sz w:val="22"/>
                      <w:color w:val="000000"/>
                    </w:rPr>
                    <w:t>≥20600N</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最小使用质量</w:t>
                  </w:r>
                  <w:r>
                    <w:rPr>
                      <w:rFonts w:ascii="仿宋_GB2312" w:hAnsi="仿宋_GB2312" w:cs="仿宋_GB2312" w:eastAsia="仿宋_GB2312"/>
                      <w:sz w:val="22"/>
                      <w:color w:val="000000"/>
                    </w:rPr>
                    <w:t>≥2685kg</w:t>
                  </w:r>
                </w:p>
              </w:tc>
            </w:tr>
            <w:tr>
              <w:tc>
                <w:tcPr>
                  <w:tcW w:type="dxa" w:w="13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8"/>
                      <w:color w:val="000000"/>
                    </w:rPr>
                    <w:t>2</w:t>
                  </w:r>
                </w:p>
              </w:tc>
              <w:tc>
                <w:tcPr>
                  <w:tcW w:type="dxa" w:w="30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4"/>
                      <w:color w:val="000000"/>
                    </w:rPr>
                    <w:t>全自动秸秆饲料除尘揉丝饲草打捆机</w:t>
                  </w:r>
                </w:p>
              </w:tc>
              <w:tc>
                <w:tcPr>
                  <w:tcW w:type="dxa" w:w="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8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台</w:t>
                  </w:r>
                </w:p>
              </w:tc>
              <w:tc>
                <w:tcPr>
                  <w:tcW w:type="dxa" w:w="19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2"/>
                      <w:color w:val="000000"/>
                    </w:rPr>
                    <w:t>▲功率：≥</w:t>
                  </w:r>
                  <w:r>
                    <w:rPr>
                      <w:rFonts w:ascii="仿宋_GB2312" w:hAnsi="仿宋_GB2312" w:cs="仿宋_GB2312" w:eastAsia="仿宋_GB2312"/>
                      <w:sz w:val="22"/>
                      <w:color w:val="000000"/>
                    </w:rPr>
                    <w:t>66KW</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全流程自动化</w:t>
                  </w:r>
                  <w:r>
                    <w:rPr>
                      <w:rFonts w:ascii="仿宋_GB2312" w:hAnsi="仿宋_GB2312" w:cs="仿宋_GB2312" w:eastAsia="仿宋_GB2312"/>
                      <w:sz w:val="22"/>
                      <w:color w:val="000000"/>
                    </w:rPr>
                    <w:t>:一次性完成捡拾、揉搓、粉碎、除土、压实、缠网打捆等工序</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22"/>
                      <w:color w:val="000000"/>
                    </w:rPr>
                    <w:t>作业效率：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10吨/8小时</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22"/>
                      <w:color w:val="000000"/>
                    </w:rPr>
                    <w:t>高效除尘</w:t>
                  </w:r>
                  <w:r>
                    <w:rPr>
                      <w:rFonts w:ascii="仿宋_GB2312" w:hAnsi="仿宋_GB2312" w:cs="仿宋_GB2312" w:eastAsia="仿宋_GB2312"/>
                      <w:sz w:val="22"/>
                      <w:color w:val="000000"/>
                    </w:rPr>
                    <w:t>：</w:t>
                  </w:r>
                  <w:r>
                    <w:rPr>
                      <w:rFonts w:ascii="仿宋_GB2312" w:hAnsi="仿宋_GB2312" w:cs="仿宋_GB2312" w:eastAsia="仿宋_GB2312"/>
                      <w:sz w:val="22"/>
                      <w:color w:val="000000"/>
                    </w:rPr>
                    <w:t>滚筒筛除尘效率</w:t>
                  </w: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color w:val="000000"/>
                    </w:rPr>
                    <w:t>捡拾宽度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7</w:t>
                  </w:r>
                  <w:r>
                    <w:rPr>
                      <w:rFonts w:ascii="仿宋_GB2312" w:hAnsi="仿宋_GB2312" w:cs="仿宋_GB2312" w:eastAsia="仿宋_GB2312"/>
                      <w:sz w:val="22"/>
                      <w:color w:val="000000"/>
                    </w:rPr>
                    <w:t>00mm</w:t>
                  </w:r>
                  <w:r>
                    <w:rPr>
                      <w:rFonts w:ascii="仿宋_GB2312" w:hAnsi="仿宋_GB2312" w:cs="仿宋_GB2312" w:eastAsia="仿宋_GB2312"/>
                      <w:sz w:val="21"/>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乙方将所有设备安装完毕，验收合格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保修期满后无质量问题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按合同约定执行。由中标单位提出验收申请，由采购人组织相关单位进行验收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按合同约定执行。免费质保期为设备（产品）自安装调试验收合格之日起2年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 供应商需提供加盖公章的《汉中市政府采购供应商资格承诺函》。3、法定代表人身份证明或授权委托书：法定代表人参加投标须提供《法定代表人身份证明》及身份证扫描件；法定代表人授权他人参加投标，须提供《法定代表人授权委托书》。 4、本项目不接受联合体。</w:t>
            </w:r>
          </w:p>
        </w:tc>
        <w:tc>
          <w:tcPr>
            <w:tcW w:type="dxa" w:w="1661"/>
          </w:tcPr>
          <w:p>
            <w:pPr>
              <w:pStyle w:val="null3"/>
            </w:pPr>
            <w:r>
              <w:rPr>
                <w:rFonts w:ascii="仿宋_GB2312" w:hAnsi="仿宋_GB2312" w:cs="仿宋_GB2312" w:eastAsia="仿宋_GB2312"/>
              </w:rPr>
              <w:t>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投标保证金支付凭证.docx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投标无效条件：投标人投标报价超出采购预算或最高限价的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投标无效条件：投标文件未按招标文件要求签署、盖章的</w:t>
            </w:r>
          </w:p>
        </w:tc>
        <w:tc>
          <w:tcPr>
            <w:tcW w:type="dxa" w:w="1661"/>
          </w:tcPr>
          <w:p>
            <w:pPr>
              <w:pStyle w:val="null3"/>
            </w:pPr>
            <w:r>
              <w:rPr>
                <w:rFonts w:ascii="仿宋_GB2312" w:hAnsi="仿宋_GB2312" w:cs="仿宋_GB2312" w:eastAsia="仿宋_GB2312"/>
              </w:rPr>
              <w:t>开标一览表 分项报价表.docx 投标函 标的清单 投标文件封面 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投标无效条件：投标文件未满足招标文件中商务要求或含有招标人不能接受的附加条件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重要技术参数</w:t>
            </w:r>
          </w:p>
        </w:tc>
        <w:tc>
          <w:tcPr>
            <w:tcW w:type="dxa" w:w="2492"/>
          </w:tcPr>
          <w:p>
            <w:pPr>
              <w:pStyle w:val="null3"/>
            </w:pPr>
            <w:r>
              <w:rPr>
                <w:rFonts w:ascii="仿宋_GB2312" w:hAnsi="仿宋_GB2312" w:cs="仿宋_GB2312" w:eastAsia="仿宋_GB2312"/>
              </w:rPr>
              <w:t>1、产品选型及配置：供应商提供所投产品的主要的技术指标（参数）相应的证明材料（包括但不限于检测报告、试验报告、产品彩页、厂家出具的技术证明文件、实物照片、功能截图、官网截图等）。 ①关键技术指标项(▲项）：完全符合招标文件要求得15分；有1项负偏离扣5分，扣完为止。（评审依据：以供应商所提供的相应证明材料为准。） ②一般技术指标项。完全满足招标文件得5分；有1项负偏离扣1分，扣完为止。相同产品负偏离不重复扣分。（评审依据：以供应商填写的产品技术参数表为准。） 注：供应商自行承担因材料提供不全或提供虚假资料导致的技术参数评审风险。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1、产品渠道正常，投标人需提供产品来源渠道证明文件,（包括但不限于销售协议、代理协议、原厂授权等）得0-8分。 2、所供产品安全可靠，稳定性强，便于操作，性能良好，并能提供产品检验合格证书，质量证书等资料，评审小组根据响应情况进行赋分； 0-8 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1.针对本项目的组织实施、产品的供货组织措施完善并针对本项目特点做出合理计划及调配，能保证产品达到最佳使用状态； 供货措施完整详细、科学合理，满足各项要求得0-5 分； 2.针对本次采购任务有具体的调试、运行组织措施，能够保证设备产品调试、运行并达到各项要求，组织措施合理、可行得0-5分；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求提供详细具体可行的售后服务方案（提供服务承诺和保障措施），包括响应产品的保修时间、保修期内的保修内容与范围等。对所有有效供应商进行横向比较，售后服务方案充实详细、有质量保证承诺，具体可行计7-10分，售后服务承诺基本可行，有质量保证承诺计4-7分，差的或不提供质量保证承诺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针对本项目提出具体的培训方案，方案内容包含：培训内容、培训人员安排、时间安排，根据方案各部分内容全面详细、阐述条理清晰详尽、是否符合本项目采购需求得0-8分。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供应商2023年1月1日至今承担过类似项目业绩，中标通知书或合同，每个业绩得2分，最高得6分。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公开招标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详见附件：投标保证金支付凭证.docx</w:t>
      </w:r>
    </w:p>
    <w:p>
      <w:pPr>
        <w:pStyle w:val="null3"/>
        <w:ind w:firstLine="960"/>
      </w:pPr>
      <w:r>
        <w:rPr>
          <w:rFonts w:ascii="仿宋_GB2312" w:hAnsi="仿宋_GB2312" w:cs="仿宋_GB2312" w:eastAsia="仿宋_GB2312"/>
        </w:rPr>
        <w:t>详见附件：相关资格证明材料.pdf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