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版本号：HXCG-2025-HZ-10-0120251018001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2025年南郑区濂水镇团堆人居环境整治项目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HXCG-2025-HZ-10-01</w:t>
      </w:r>
      <w:r>
        <w:br/>
      </w:r>
      <w:r>
        <w:br/>
      </w:r>
      <w:r>
        <w:br/>
      </w:r>
    </w:p>
    <w:p>
      <w:pPr>
        <w:pStyle w:val="null3"/>
        <w:jc w:val="center"/>
        <w:outlineLvl w:val="2"/>
      </w:pPr>
      <w:r>
        <w:rPr>
          <w:rFonts w:ascii="仿宋_GB2312" w:hAnsi="仿宋_GB2312" w:cs="仿宋_GB2312" w:eastAsia="仿宋_GB2312"/>
          <w:sz w:val="28"/>
          <w:b/>
        </w:rPr>
        <w:t>汉中市南郑区濂水镇人民政府</w:t>
      </w:r>
    </w:p>
    <w:p>
      <w:pPr>
        <w:pStyle w:val="null3"/>
        <w:jc w:val="center"/>
        <w:outlineLvl w:val="2"/>
      </w:pPr>
      <w:r>
        <w:rPr>
          <w:rFonts w:ascii="仿宋_GB2312" w:hAnsi="仿宋_GB2312" w:cs="仿宋_GB2312" w:eastAsia="仿宋_GB2312"/>
          <w:sz w:val="28"/>
          <w:b/>
        </w:rPr>
        <w:t>横信项目管理有限公司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横信项目管理有限公司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汉中市南郑区濂水镇人民政府</w:t>
      </w:r>
      <w:r>
        <w:rPr>
          <w:rFonts w:ascii="仿宋_GB2312" w:hAnsi="仿宋_GB2312" w:cs="仿宋_GB2312" w:eastAsia="仿宋_GB2312"/>
        </w:rPr>
        <w:t>委托，拟对</w:t>
      </w:r>
      <w:r>
        <w:rPr>
          <w:rFonts w:ascii="仿宋_GB2312" w:hAnsi="仿宋_GB2312" w:cs="仿宋_GB2312" w:eastAsia="仿宋_GB2312"/>
        </w:rPr>
        <w:t>2025年南郑区濂水镇团堆人居环境整治项目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HXCG-2025-HZ-10-01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2025年南郑区濂水镇团堆人居环境整治项目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新建公厕1座;购置垃圾分类桶40个,垃圾箱20个；整治排水沟1420m，新建排水沟85米,路边道路整治800m,混凝土路面1200㎡,清理河道、沟渠垃圾200吨等，具体建设内容以工程量清单描述为准；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采购包1（2025年南郑区濂水镇团堆人居环境整治项目）：属于专门面向中小企业采购。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的能力：供应商为具有独立承担民事责任能力的企业法人、事业法人、其他组织，提供营业执照复印件（事业单位须提供事业单位法人证、组织机构代码证等证明文件；其他组织应提供合法证明文件）【提供加盖公章的复印件】</w:t>
      </w:r>
    </w:p>
    <w:p>
      <w:pPr>
        <w:pStyle w:val="null3"/>
      </w:pPr>
      <w:r>
        <w:rPr>
          <w:rFonts w:ascii="仿宋_GB2312" w:hAnsi="仿宋_GB2312" w:cs="仿宋_GB2312" w:eastAsia="仿宋_GB2312"/>
        </w:rPr>
        <w:t>2、法定代表人或授权委托人：法定代表人直接参加磋商的，须出具法人身份证(附法定代表人身份证复印件);法定代表人授权代表参加磋商的，须出具法定代表人授权书及授权代表身份证(附法定代表人身份证复印件及被授权人身份证复印件)。</w:t>
      </w:r>
    </w:p>
    <w:p>
      <w:pPr>
        <w:pStyle w:val="null3"/>
      </w:pPr>
      <w:r>
        <w:rPr>
          <w:rFonts w:ascii="仿宋_GB2312" w:hAnsi="仿宋_GB2312" w:cs="仿宋_GB2312" w:eastAsia="仿宋_GB2312"/>
        </w:rPr>
        <w:t>3、企业资格要求：供应商须具备建设行政主管部门核发的市政公用工程施工总承包三级及以上资质等级，并具有安全生产许可证且在有效期内；投标人基本信息及项目负责人的基本信息应在“陕西省住房和城乡建设厅”或“全国建筑市场监管公共服务平台（四库一平台）”可查询；</w:t>
      </w:r>
    </w:p>
    <w:p>
      <w:pPr>
        <w:pStyle w:val="null3"/>
      </w:pPr>
      <w:r>
        <w:rPr>
          <w:rFonts w:ascii="仿宋_GB2312" w:hAnsi="仿宋_GB2312" w:cs="仿宋_GB2312" w:eastAsia="仿宋_GB2312"/>
        </w:rPr>
        <w:t>4、拟派项目负责人资格要求：拟派项目经理须具备市政公用工程专业注册建造师二级（含二级）以上执业资格，具有安全生产考核合格B证，在本单位注册且无在建工程</w:t>
      </w:r>
    </w:p>
    <w:p>
      <w:pPr>
        <w:pStyle w:val="null3"/>
      </w:pPr>
      <w:r>
        <w:rPr>
          <w:rFonts w:ascii="仿宋_GB2312" w:hAnsi="仿宋_GB2312" w:cs="仿宋_GB2312" w:eastAsia="仿宋_GB2312"/>
        </w:rPr>
        <w:t>5、供应商须具有健全的财务会计制度、具有履行合同所必需的设备和专业技术能力、具有依法缴纳税收和社会保障资金的良好记录，以及参加本项目采购活动前三年内在经营活动中无重大违法活动记录：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p>
      <w:pPr>
        <w:pStyle w:val="null3"/>
      </w:pPr>
      <w:r>
        <w:rPr>
          <w:rFonts w:ascii="仿宋_GB2312" w:hAnsi="仿宋_GB2312" w:cs="仿宋_GB2312" w:eastAsia="仿宋_GB2312"/>
        </w:rPr>
        <w:t>6、本项目不接受联合体磋商；：本项目不接受联合体磋商（提供非联合体声明）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汉中市南郑区濂水镇人民政府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濂水镇濂水街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罗先生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13209163005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横信项目管理有限公司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陕西省西安市经济技术开发区首创国际城八期 64栋楼 307室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18309161539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采购包1：1,198,732.91元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开户名称：横信项目管理有限公司汉中分公司</w:t>
            </w:r>
          </w:p>
          <w:p>
            <w:pPr>
              <w:pStyle w:val="null3"/>
            </w:pPr>
            <w:r>
              <w:rPr>
                <w:rFonts w:ascii="仿宋_GB2312" w:hAnsi="仿宋_GB2312" w:cs="仿宋_GB2312" w:eastAsia="仿宋_GB2312"/>
              </w:rPr>
              <w:t>开户银行：中国农业银行股份有限公司汉中东一环路支行（行号：103799065106）</w:t>
            </w:r>
          </w:p>
          <w:p>
            <w:pPr>
              <w:pStyle w:val="null3"/>
            </w:pPr>
            <w:r>
              <w:rPr>
                <w:rFonts w:ascii="仿宋_GB2312" w:hAnsi="仿宋_GB2312" w:cs="仿宋_GB2312" w:eastAsia="仿宋_GB2312"/>
              </w:rPr>
              <w:t>银行账号：26650401040002274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招标代理服务收费管理暂行办法》和国家发展改革委办公厅（发改办价格【2003】857号）和国家发展改革委（发改价格【2011】534号）文件的相关规定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汉中市南郑区濂水镇人民政府</w:t>
      </w:r>
      <w:r>
        <w:rPr>
          <w:rFonts w:ascii="仿宋_GB2312" w:hAnsi="仿宋_GB2312" w:cs="仿宋_GB2312" w:eastAsia="仿宋_GB2312"/>
        </w:rPr>
        <w:t>和</w:t>
      </w:r>
      <w:r>
        <w:rPr>
          <w:rFonts w:ascii="仿宋_GB2312" w:hAnsi="仿宋_GB2312" w:cs="仿宋_GB2312" w:eastAsia="仿宋_GB2312"/>
        </w:rPr>
        <w:t>横信项目管理有限公司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汉中市南郑区濂水镇人民政府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横信项目管理有限公司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汉中市南郑区濂水镇人民政府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横信项目管理有限公司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满足相关标准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横信项目管理有限公司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横信项目管理有限公司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横信项目管理有限公司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联系人：李工</w:t>
      </w:r>
    </w:p>
    <w:p>
      <w:pPr>
        <w:pStyle w:val="null3"/>
      </w:pPr>
      <w:r>
        <w:rPr>
          <w:rFonts w:ascii="仿宋_GB2312" w:hAnsi="仿宋_GB2312" w:cs="仿宋_GB2312" w:eastAsia="仿宋_GB2312"/>
        </w:rPr>
        <w:t>联系电话：18309161539</w:t>
      </w:r>
    </w:p>
    <w:p>
      <w:pPr>
        <w:pStyle w:val="null3"/>
      </w:pPr>
      <w:r>
        <w:rPr>
          <w:rFonts w:ascii="仿宋_GB2312" w:hAnsi="仿宋_GB2312" w:cs="仿宋_GB2312" w:eastAsia="仿宋_GB2312"/>
        </w:rPr>
        <w:t>地址：陕西省西安市经济技术开发区首创国际城八期 64栋楼 307室</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1,198,732.91</w:t>
      </w:r>
    </w:p>
    <w:p>
      <w:pPr>
        <w:pStyle w:val="null3"/>
      </w:pPr>
      <w:r>
        <w:rPr>
          <w:rFonts w:ascii="仿宋_GB2312" w:hAnsi="仿宋_GB2312" w:cs="仿宋_GB2312" w:eastAsia="仿宋_GB2312"/>
        </w:rPr>
        <w:t>采购包最高限价（元）: 1,198,732.91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人居环境整治</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1,198,732.91</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标的名称：人居环境整治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1）施工范围：工程量清单内所含的全部内容</w:t>
            </w:r>
            <w:r>
              <w:br/>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2）工期：60日历天</w:t>
            </w:r>
            <w:r>
              <w:br/>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3）质量标准：合格</w:t>
            </w:r>
            <w:r>
              <w:br/>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4）本工程计价采用广联达计价软件GCCP7.0</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符合相关标准及行业规定</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的能力：供应商为具有独立承担民事责任能力的企业法人、事业法人、其他组织，提供营业执照复印件（事业单位须提供事业单位法人证、组织机构代码证等证明文件；其他组织应提供合法证明文件）【提供加盖公章的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法定代表人或授权委托人</w:t>
            </w:r>
          </w:p>
        </w:tc>
        <w:tc>
          <w:tcPr>
            <w:tcW w:type="dxa" w:w="3322"/>
          </w:tcPr>
          <w:p>
            <w:pPr>
              <w:pStyle w:val="null3"/>
            </w:pPr>
            <w:r>
              <w:rPr>
                <w:rFonts w:ascii="仿宋_GB2312" w:hAnsi="仿宋_GB2312" w:cs="仿宋_GB2312" w:eastAsia="仿宋_GB2312"/>
              </w:rPr>
              <w:t>法定代表人直接参加磋商的，须出具法人身份证(附法定代表人身份证复印件);法定代表人授权代表参加磋商的，须出具法定代表人授权书及授权代表身份证(附法定代表人身份证复印件及被授权人身份证复印件)。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企业资格要求</w:t>
            </w:r>
          </w:p>
        </w:tc>
        <w:tc>
          <w:tcPr>
            <w:tcW w:type="dxa" w:w="3322"/>
          </w:tcPr>
          <w:p>
            <w:pPr>
              <w:pStyle w:val="null3"/>
            </w:pPr>
            <w:r>
              <w:rPr>
                <w:rFonts w:ascii="仿宋_GB2312" w:hAnsi="仿宋_GB2312" w:cs="仿宋_GB2312" w:eastAsia="仿宋_GB2312"/>
              </w:rPr>
              <w:t>供应商须具备建设行政主管部门核发的市政公用工程施工总承包三级及以上资质等级，并具有安全生产许可证且在有效期内；投标人基本信息及项目负责人的基本信息应在“陕西省住房和城乡建设厅”或“全国建筑市场监管公共服务平台（四库一平台）”可查询；</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拟派项目负责人资格要求</w:t>
            </w:r>
          </w:p>
        </w:tc>
        <w:tc>
          <w:tcPr>
            <w:tcW w:type="dxa" w:w="3322"/>
          </w:tcPr>
          <w:p>
            <w:pPr>
              <w:pStyle w:val="null3"/>
            </w:pPr>
            <w:r>
              <w:rPr>
                <w:rFonts w:ascii="仿宋_GB2312" w:hAnsi="仿宋_GB2312" w:cs="仿宋_GB2312" w:eastAsia="仿宋_GB2312"/>
              </w:rPr>
              <w:t>拟派项目经理须具备市政公用工程专业注册建造师二级（含二级）以上执业资格，具有安全生产考核合格B证，在本单位注册且无在建工程</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本项目不接受联合体磋商（提供非联合体声明）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应满足磋商文件的要求</w:t>
            </w:r>
          </w:p>
        </w:tc>
        <w:tc>
          <w:tcPr>
            <w:tcW w:type="dxa" w:w="1661"/>
          </w:tcPr>
          <w:p>
            <w:pPr>
              <w:pStyle w:val="null3"/>
            </w:pPr>
            <w:r>
              <w:rPr>
                <w:rFonts w:ascii="仿宋_GB2312" w:hAnsi="仿宋_GB2312" w:cs="仿宋_GB2312" w:eastAsia="仿宋_GB2312"/>
              </w:rPr>
              <w:t>标的清单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响应文件上法定代表人或其委托代理人的签字齐全并加盖单位公章</w:t>
            </w:r>
          </w:p>
        </w:tc>
        <w:tc>
          <w:tcPr>
            <w:tcW w:type="dxa" w:w="1661"/>
          </w:tcPr>
          <w:p>
            <w:pPr>
              <w:pStyle w:val="null3"/>
            </w:pPr>
            <w:r>
              <w:rPr>
                <w:rFonts w:ascii="仿宋_GB2312" w:hAnsi="仿宋_GB2312" w:cs="仿宋_GB2312" w:eastAsia="仿宋_GB2312"/>
              </w:rPr>
              <w:t>文明施工措施 已标价工程量清单 类似业绩情况表 针对突发事件应急保证措施 中小企业声明函 总体施工方案 供应商应提交的相关资格证明材料 工期保证体系及保证措施 磋商保证金缴纳凭证 施工承诺 响应文件封面 施工环保措施及治污减霾保证措施 拟派项目人员安排 残疾人福利性单位声明函 安全生产管理体系及保证措施 报价函 项目的材料及机具配备保证措施 标的清单 劳动力安排计划 响应函 监狱企业的证明文件 施工质量保证措施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按照磋商文件要求提交了保证金</w:t>
            </w:r>
          </w:p>
        </w:tc>
        <w:tc>
          <w:tcPr>
            <w:tcW w:type="dxa" w:w="1661"/>
          </w:tcPr>
          <w:p>
            <w:pPr>
              <w:pStyle w:val="null3"/>
            </w:pPr>
            <w:r>
              <w:rPr>
                <w:rFonts w:ascii="仿宋_GB2312" w:hAnsi="仿宋_GB2312" w:cs="仿宋_GB2312" w:eastAsia="仿宋_GB2312"/>
              </w:rPr>
              <w:t>磋商保证金缴纳凭证</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总体施工方案</w:t>
            </w:r>
          </w:p>
        </w:tc>
        <w:tc>
          <w:tcPr>
            <w:tcW w:type="dxa" w:w="2492"/>
          </w:tcPr>
          <w:p>
            <w:pPr>
              <w:pStyle w:val="null3"/>
            </w:pPr>
            <w:r>
              <w:rPr>
                <w:rFonts w:ascii="仿宋_GB2312" w:hAnsi="仿宋_GB2312" w:cs="仿宋_GB2312" w:eastAsia="仿宋_GB2312"/>
              </w:rPr>
              <w:t>投标人根据本项目的性质特点、区域现状、现场作业的难点、重点等内容进行的描述以及解决方案。 ①．方案较详实，能贴合实际、实用性一般，得 1-3分； ②．方案较详实，贴合实际、实用性较强，得3.1-5分； ③.方案详实、贴合实际、实用性强，得5.1-8 分； 此项未提供不得分。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总体施工方案</w:t>
            </w:r>
          </w:p>
        </w:tc>
      </w:tr>
      <w:tr>
        <w:tc>
          <w:tcPr>
            <w:tcW w:type="dxa" w:w="831"/>
            <w:vMerge/>
          </w:tcPr>
          <w:p/>
        </w:tc>
        <w:tc>
          <w:tcPr>
            <w:tcW w:type="dxa" w:w="1661"/>
          </w:tcPr>
          <w:p>
            <w:pPr>
              <w:pStyle w:val="null3"/>
            </w:pPr>
            <w:r>
              <w:rPr>
                <w:rFonts w:ascii="仿宋_GB2312" w:hAnsi="仿宋_GB2312" w:cs="仿宋_GB2312" w:eastAsia="仿宋_GB2312"/>
              </w:rPr>
              <w:t>施工质量保证措施</w:t>
            </w:r>
          </w:p>
        </w:tc>
        <w:tc>
          <w:tcPr>
            <w:tcW w:type="dxa" w:w="2492"/>
          </w:tcPr>
          <w:p>
            <w:pPr>
              <w:pStyle w:val="null3"/>
            </w:pPr>
            <w:r>
              <w:rPr>
                <w:rFonts w:ascii="仿宋_GB2312" w:hAnsi="仿宋_GB2312" w:cs="仿宋_GB2312" w:eastAsia="仿宋_GB2312"/>
              </w:rPr>
              <w:t>①.工程质量管理体系及保证措施编制科学合理、 基本符合技术规范、质量标准得 1-3 分； ②．工程质量管理体系及保证措施编制科学较合理、较详尽、较符合技术规范、质量标准得 3.1-5 分； ③.工程质量管理体系及保证措施编制科学合理、完整详尽、全面符合技术规范、质量标准得 5.1-7 分； 此项未提供不得分。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施工质量保证措施</w:t>
            </w:r>
          </w:p>
        </w:tc>
      </w:tr>
      <w:tr>
        <w:tc>
          <w:tcPr>
            <w:tcW w:type="dxa" w:w="831"/>
            <w:vMerge/>
          </w:tcPr>
          <w:p/>
        </w:tc>
        <w:tc>
          <w:tcPr>
            <w:tcW w:type="dxa" w:w="1661"/>
          </w:tcPr>
          <w:p>
            <w:pPr>
              <w:pStyle w:val="null3"/>
            </w:pPr>
            <w:r>
              <w:rPr>
                <w:rFonts w:ascii="仿宋_GB2312" w:hAnsi="仿宋_GB2312" w:cs="仿宋_GB2312" w:eastAsia="仿宋_GB2312"/>
              </w:rPr>
              <w:t>工期保证体系及保证措施</w:t>
            </w:r>
          </w:p>
        </w:tc>
        <w:tc>
          <w:tcPr>
            <w:tcW w:type="dxa" w:w="2492"/>
          </w:tcPr>
          <w:p>
            <w:pPr>
              <w:pStyle w:val="null3"/>
            </w:pPr>
            <w:r>
              <w:rPr>
                <w:rFonts w:ascii="仿宋_GB2312" w:hAnsi="仿宋_GB2312" w:cs="仿宋_GB2312" w:eastAsia="仿宋_GB2312"/>
              </w:rPr>
              <w:t>①. 工期保证体系及保证措施基本满足施工要求， 可行性一般，得1-3 分； ②.工期保证体系及保证措施较合理，可行性较强，得3.1-5分； ③.工期保证体系及保证措施合理、可行性强，得5.1-7分; 此项未提供不得分。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工期保证体系及保证措施</w:t>
            </w:r>
          </w:p>
        </w:tc>
      </w:tr>
      <w:tr>
        <w:tc>
          <w:tcPr>
            <w:tcW w:type="dxa" w:w="831"/>
            <w:vMerge/>
          </w:tcPr>
          <w:p/>
        </w:tc>
        <w:tc>
          <w:tcPr>
            <w:tcW w:type="dxa" w:w="1661"/>
          </w:tcPr>
          <w:p>
            <w:pPr>
              <w:pStyle w:val="null3"/>
            </w:pPr>
            <w:r>
              <w:rPr>
                <w:rFonts w:ascii="仿宋_GB2312" w:hAnsi="仿宋_GB2312" w:cs="仿宋_GB2312" w:eastAsia="仿宋_GB2312"/>
              </w:rPr>
              <w:t>安全生产管理体系及保证措施</w:t>
            </w:r>
          </w:p>
        </w:tc>
        <w:tc>
          <w:tcPr>
            <w:tcW w:type="dxa" w:w="2492"/>
          </w:tcPr>
          <w:p>
            <w:pPr>
              <w:pStyle w:val="null3"/>
            </w:pPr>
            <w:r>
              <w:rPr>
                <w:rFonts w:ascii="仿宋_GB2312" w:hAnsi="仿宋_GB2312" w:cs="仿宋_GB2312" w:eastAsia="仿宋_GB2312"/>
              </w:rPr>
              <w:t>①.安全生产管理体系及保证措施基本合理，具有一定的可行性,得 1-3 分； ②.安全生产管理体系及保证措施较合理，可行性较强，得 3.1-5 分； ③.安全生产管理体系及保证措施合理、可行性强，得 5.1-7 分 此项未提供不得分。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安全生产管理体系及保证措施</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①．措施比较合理、针对性和实施性一般得1-3分；未提供不得分。 ②．措施有针对性、合理、可实施性强得3.1-5分； 此项未提供不得分。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文明施工措施</w:t>
            </w:r>
          </w:p>
        </w:tc>
      </w:tr>
      <w:tr>
        <w:tc>
          <w:tcPr>
            <w:tcW w:type="dxa" w:w="831"/>
            <w:vMerge/>
          </w:tcPr>
          <w:p/>
        </w:tc>
        <w:tc>
          <w:tcPr>
            <w:tcW w:type="dxa" w:w="1661"/>
          </w:tcPr>
          <w:p>
            <w:pPr>
              <w:pStyle w:val="null3"/>
            </w:pPr>
            <w:r>
              <w:rPr>
                <w:rFonts w:ascii="仿宋_GB2312" w:hAnsi="仿宋_GB2312" w:cs="仿宋_GB2312" w:eastAsia="仿宋_GB2312"/>
              </w:rPr>
              <w:t>施工环保措施及治污减霾保证措施</w:t>
            </w:r>
          </w:p>
        </w:tc>
        <w:tc>
          <w:tcPr>
            <w:tcW w:type="dxa" w:w="2492"/>
          </w:tcPr>
          <w:p>
            <w:pPr>
              <w:pStyle w:val="null3"/>
            </w:pPr>
            <w:r>
              <w:rPr>
                <w:rFonts w:ascii="仿宋_GB2312" w:hAnsi="仿宋_GB2312" w:cs="仿宋_GB2312" w:eastAsia="仿宋_GB2312"/>
              </w:rPr>
              <w:t>①．措施比较合理、针对性和实施性一般得1-3分；未提供不得分。 ②.措施有针对性、合理、可实施性强得3.1-5分； 此项未提供不得分。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施工环保措施及治污减霾保证措施</w:t>
            </w:r>
          </w:p>
        </w:tc>
      </w:tr>
      <w:tr>
        <w:tc>
          <w:tcPr>
            <w:tcW w:type="dxa" w:w="831"/>
            <w:vMerge/>
          </w:tcPr>
          <w:p/>
        </w:tc>
        <w:tc>
          <w:tcPr>
            <w:tcW w:type="dxa" w:w="1661"/>
          </w:tcPr>
          <w:p>
            <w:pPr>
              <w:pStyle w:val="null3"/>
            </w:pPr>
            <w:r>
              <w:rPr>
                <w:rFonts w:ascii="仿宋_GB2312" w:hAnsi="仿宋_GB2312" w:cs="仿宋_GB2312" w:eastAsia="仿宋_GB2312"/>
              </w:rPr>
              <w:t>项目的材料及机具配备保证措施</w:t>
            </w:r>
          </w:p>
        </w:tc>
        <w:tc>
          <w:tcPr>
            <w:tcW w:type="dxa" w:w="2492"/>
          </w:tcPr>
          <w:p>
            <w:pPr>
              <w:pStyle w:val="null3"/>
            </w:pPr>
            <w:r>
              <w:rPr>
                <w:rFonts w:ascii="仿宋_GB2312" w:hAnsi="仿宋_GB2312" w:cs="仿宋_GB2312" w:eastAsia="仿宋_GB2312"/>
              </w:rPr>
              <w:t>①有机具设备投入计划，较合理、基本符合本工程特点得1-3分； ②．有机具设备投入计划，且合理可行、有针对性、符合本工程特点得3.1-6分；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项目的材料及机具配备保证措施</w:t>
            </w:r>
          </w:p>
        </w:tc>
      </w:tr>
      <w:tr>
        <w:tc>
          <w:tcPr>
            <w:tcW w:type="dxa" w:w="831"/>
            <w:vMerge/>
          </w:tcPr>
          <w:p/>
        </w:tc>
        <w:tc>
          <w:tcPr>
            <w:tcW w:type="dxa" w:w="1661"/>
          </w:tcPr>
          <w:p>
            <w:pPr>
              <w:pStyle w:val="null3"/>
            </w:pPr>
            <w:r>
              <w:rPr>
                <w:rFonts w:ascii="仿宋_GB2312" w:hAnsi="仿宋_GB2312" w:cs="仿宋_GB2312" w:eastAsia="仿宋_GB2312"/>
              </w:rPr>
              <w:t>针对突发事件应急保障措施</w:t>
            </w:r>
          </w:p>
        </w:tc>
        <w:tc>
          <w:tcPr>
            <w:tcW w:type="dxa" w:w="2492"/>
          </w:tcPr>
          <w:p>
            <w:pPr>
              <w:pStyle w:val="null3"/>
            </w:pPr>
            <w:r>
              <w:rPr>
                <w:rFonts w:ascii="仿宋_GB2312" w:hAnsi="仿宋_GB2312" w:cs="仿宋_GB2312" w:eastAsia="仿宋_GB2312"/>
              </w:rPr>
              <w:t>根据投标人针对突发事件应急保障措施及迎检方案的可行性（包含恶劣天气影响、自然灾害及政府性重大活动，重大节假日等特殊情况制定应急处置方案等） ①应急保障措施及迎检方案有效、合理，可实施性一般，得1-3分；应急保障措施及迎检方案有效、合理，可实施性较强，得3.1-5分；； ②应急保障措施及迎检方案详尽、全面、有效、合理，可实施性强，得5.1-7分； 此项未提供不得分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针对突发事件应急保证措施</w:t>
            </w:r>
          </w:p>
        </w:tc>
      </w:tr>
      <w:tr>
        <w:tc>
          <w:tcPr>
            <w:tcW w:type="dxa" w:w="831"/>
            <w:vMerge/>
          </w:tcPr>
          <w:p/>
        </w:tc>
        <w:tc>
          <w:tcPr>
            <w:tcW w:type="dxa" w:w="1661"/>
          </w:tcPr>
          <w:p>
            <w:pPr>
              <w:pStyle w:val="null3"/>
            </w:pPr>
            <w:r>
              <w:rPr>
                <w:rFonts w:ascii="仿宋_GB2312" w:hAnsi="仿宋_GB2312" w:cs="仿宋_GB2312" w:eastAsia="仿宋_GB2312"/>
              </w:rPr>
              <w:t>业绩要求</w:t>
            </w:r>
          </w:p>
        </w:tc>
        <w:tc>
          <w:tcPr>
            <w:tcW w:type="dxa" w:w="2492"/>
          </w:tcPr>
          <w:p>
            <w:pPr>
              <w:pStyle w:val="null3"/>
            </w:pPr>
            <w:r>
              <w:rPr>
                <w:rFonts w:ascii="仿宋_GB2312" w:hAnsi="仿宋_GB2312" w:cs="仿宋_GB2312" w:eastAsia="仿宋_GB2312"/>
              </w:rPr>
              <w:t>投标人提供自2022年1月至今完成过类似类似业绩，提供一个得2.5分，最高可得5分； 评审依据：提供加盖公章的中标通知书、合同协议书，时间以加签订的合同协议书为准。 此项未提供不得分。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类似业绩情况表</w:t>
            </w:r>
          </w:p>
        </w:tc>
      </w:tr>
      <w:tr>
        <w:tc>
          <w:tcPr>
            <w:tcW w:type="dxa" w:w="831"/>
            <w:vMerge/>
          </w:tcPr>
          <w:p/>
        </w:tc>
        <w:tc>
          <w:tcPr>
            <w:tcW w:type="dxa" w:w="1661"/>
          </w:tcPr>
          <w:p>
            <w:pPr>
              <w:pStyle w:val="null3"/>
            </w:pPr>
            <w:r>
              <w:rPr>
                <w:rFonts w:ascii="仿宋_GB2312" w:hAnsi="仿宋_GB2312" w:cs="仿宋_GB2312" w:eastAsia="仿宋_GB2312"/>
              </w:rPr>
              <w:t>项目拟派人员安排</w:t>
            </w:r>
          </w:p>
        </w:tc>
        <w:tc>
          <w:tcPr>
            <w:tcW w:type="dxa" w:w="2492"/>
          </w:tcPr>
          <w:p>
            <w:pPr>
              <w:pStyle w:val="null3"/>
            </w:pPr>
            <w:r>
              <w:rPr>
                <w:rFonts w:ascii="仿宋_GB2312" w:hAnsi="仿宋_GB2312" w:cs="仿宋_GB2312" w:eastAsia="仿宋_GB2312"/>
              </w:rPr>
              <w:t>（1）①人员配置较合理，职责较明确得1-3分；②组织结构完整，人员配置合理，职责明确得3.1-6分；组织结构较完整，未提供不得分。 （2）投标人承诺保证投入本项目的人员数量和技术能力，安排好足够的高素质项目经理及相关技术人员进行本项目的施工工作，项目建设过程中不得随意更换人员，并提供承诺函得2分。 此项未提供不得分。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拟派项目人员安排</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针对本项目作出合理有效的工程施工承诺（主要体现不得拖欠施工人员工资、给施工人员缴纳保险、降低工程造价等），每提供1条得2分，满分6分；不提供不得分。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施工承诺</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经资格审查、符合性审查合格的磋商文件，其投标报价为有效投标报价。 1、上限为采购预算价，即报价大于上限价视为无效标； 2、以满足本次磋商文件要求的最低报价为评审基准价，其价格为满分； 3、不享有政策优惠条件的投标投标人报价得分=（评审基准价/报价）×30。 4.本项目为专门面向中小企业项目，专门面向中小企业采购的项目，不再执行价格评审优惠的扶持政策。 5.为保证项目质量，投标人报价若低于招标采购预算的 80%，须对报价合理性及成本构成做书面说明（如报价成本分析），如未能提供有效证明，将被视为低于成本报价而报价无效。（投标报价评审只评投标总价）。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详见附件：安全生产管理体系及保证措施</w:t>
      </w:r>
    </w:p>
    <w:p>
      <w:pPr>
        <w:pStyle w:val="null3"/>
        <w:ind w:firstLine="960"/>
      </w:pPr>
      <w:r>
        <w:rPr>
          <w:rFonts w:ascii="仿宋_GB2312" w:hAnsi="仿宋_GB2312" w:cs="仿宋_GB2312" w:eastAsia="仿宋_GB2312"/>
        </w:rPr>
        <w:t>详见附件：磋商保证金缴纳凭证</w:t>
      </w:r>
    </w:p>
    <w:p>
      <w:pPr>
        <w:pStyle w:val="null3"/>
        <w:ind w:firstLine="960"/>
      </w:pPr>
      <w:r>
        <w:rPr>
          <w:rFonts w:ascii="仿宋_GB2312" w:hAnsi="仿宋_GB2312" w:cs="仿宋_GB2312" w:eastAsia="仿宋_GB2312"/>
        </w:rPr>
        <w:t>详见附件：工期保证体系及保证措施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详见附件：劳动力安排计划</w:t>
      </w:r>
    </w:p>
    <w:p>
      <w:pPr>
        <w:pStyle w:val="null3"/>
        <w:ind w:firstLine="960"/>
      </w:pPr>
      <w:r>
        <w:rPr>
          <w:rFonts w:ascii="仿宋_GB2312" w:hAnsi="仿宋_GB2312" w:cs="仿宋_GB2312" w:eastAsia="仿宋_GB2312"/>
        </w:rPr>
        <w:t>详见附件：类似业绩情况表</w:t>
      </w:r>
    </w:p>
    <w:p>
      <w:pPr>
        <w:pStyle w:val="null3"/>
        <w:ind w:firstLine="960"/>
      </w:pPr>
      <w:r>
        <w:rPr>
          <w:rFonts w:ascii="仿宋_GB2312" w:hAnsi="仿宋_GB2312" w:cs="仿宋_GB2312" w:eastAsia="仿宋_GB2312"/>
        </w:rPr>
        <w:t>详见附件：拟派项目人员安排</w:t>
      </w:r>
    </w:p>
    <w:p>
      <w:pPr>
        <w:pStyle w:val="null3"/>
        <w:ind w:firstLine="960"/>
      </w:pPr>
      <w:r>
        <w:rPr>
          <w:rFonts w:ascii="仿宋_GB2312" w:hAnsi="仿宋_GB2312" w:cs="仿宋_GB2312" w:eastAsia="仿宋_GB2312"/>
        </w:rPr>
        <w:t>详见附件：施工环保措施及治污减霾保证措施</w:t>
      </w:r>
    </w:p>
    <w:p>
      <w:pPr>
        <w:pStyle w:val="null3"/>
        <w:ind w:firstLine="960"/>
      </w:pPr>
      <w:r>
        <w:rPr>
          <w:rFonts w:ascii="仿宋_GB2312" w:hAnsi="仿宋_GB2312" w:cs="仿宋_GB2312" w:eastAsia="仿宋_GB2312"/>
        </w:rPr>
        <w:t>详见附件：施工质量保证措施</w:t>
      </w:r>
    </w:p>
    <w:p>
      <w:pPr>
        <w:pStyle w:val="null3"/>
        <w:ind w:firstLine="960"/>
      </w:pPr>
      <w:r>
        <w:rPr>
          <w:rFonts w:ascii="仿宋_GB2312" w:hAnsi="仿宋_GB2312" w:cs="仿宋_GB2312" w:eastAsia="仿宋_GB2312"/>
        </w:rPr>
        <w:t>详见附件：文明施工措施</w:t>
      </w:r>
    </w:p>
    <w:p>
      <w:pPr>
        <w:pStyle w:val="null3"/>
        <w:ind w:firstLine="960"/>
      </w:pPr>
      <w:r>
        <w:rPr>
          <w:rFonts w:ascii="仿宋_GB2312" w:hAnsi="仿宋_GB2312" w:cs="仿宋_GB2312" w:eastAsia="仿宋_GB2312"/>
        </w:rPr>
        <w:t>详见附件：项目的材料及机具配备保证措施</w:t>
      </w:r>
    </w:p>
    <w:p>
      <w:pPr>
        <w:pStyle w:val="null3"/>
        <w:ind w:firstLine="960"/>
      </w:pPr>
      <w:r>
        <w:rPr>
          <w:rFonts w:ascii="仿宋_GB2312" w:hAnsi="仿宋_GB2312" w:cs="仿宋_GB2312" w:eastAsia="仿宋_GB2312"/>
        </w:rPr>
        <w:t>详见附件：针对突发事件应急保证措施</w:t>
      </w:r>
    </w:p>
    <w:p>
      <w:pPr>
        <w:pStyle w:val="null3"/>
        <w:ind w:firstLine="960"/>
      </w:pPr>
      <w:r>
        <w:rPr>
          <w:rFonts w:ascii="仿宋_GB2312" w:hAnsi="仿宋_GB2312" w:cs="仿宋_GB2312" w:eastAsia="仿宋_GB2312"/>
        </w:rPr>
        <w:t>详见附件：总体施工方案</w:t>
      </w:r>
    </w:p>
    <w:p>
      <w:pPr>
        <w:pStyle w:val="null3"/>
        <w:ind w:firstLine="960"/>
      </w:pPr>
      <w:r>
        <w:rPr>
          <w:rFonts w:ascii="仿宋_GB2312" w:hAnsi="仿宋_GB2312" w:cs="仿宋_GB2312" w:eastAsia="仿宋_GB2312"/>
        </w:rPr>
        <w:t>详见附件：施工承诺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