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D0349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8"/>
          <w:szCs w:val="36"/>
          <w:u w:val="none"/>
          <w:lang w:val="en-US" w:eastAsia="zh-CN"/>
        </w:rPr>
        <w:t>③</w:t>
      </w:r>
      <w:r>
        <w:rPr>
          <w:rFonts w:hint="eastAsia"/>
          <w:sz w:val="28"/>
          <w:szCs w:val="36"/>
          <w:u w:val="none"/>
          <w:lang w:val="en-US" w:eastAsia="zh-CN"/>
        </w:rPr>
        <w:t>供应商须具备建设行政主管部门核发的市政公用工程施工总承包三级及以上资质等级，并具有安全生产许可证且在有效期内；投标人基本信息及项目负责人的基本信息应在“陕西省住房和城乡建设厅”或“全国建筑市场监管公共服务平台（四库一平台）”可查询。</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r>
        <w:rPr>
          <w:rFonts w:hint="eastAsia" w:ascii="宋体" w:hAnsi="宋体" w:eastAsia="宋体" w:cs="宋体"/>
          <w:sz w:val="28"/>
          <w:szCs w:val="36"/>
          <w:u w:val="none"/>
          <w:lang w:val="en-US" w:eastAsia="zh-CN"/>
        </w:rPr>
        <w:t>④拟派项目经理须具备市政公用工程专业注册建造师二级（含二级）以上执业资格，具有安全生产考核合格B证，在本单位注册且无在建工程；</w:t>
      </w: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752"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752"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752"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870"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752"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752"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752"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752"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752"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752"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8"/>
          <w:szCs w:val="36"/>
          <w:u w:val="none"/>
          <w:lang w:val="en-US" w:eastAsia="zh-CN"/>
        </w:rPr>
        <w:t>⑤</w:t>
      </w:r>
      <w:r>
        <w:rPr>
          <w:rFonts w:hint="eastAsia"/>
          <w:sz w:val="28"/>
          <w:szCs w:val="36"/>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宋体" w:hAnsi="宋体" w:eastAsia="宋体" w:cs="宋体"/>
          <w:sz w:val="28"/>
          <w:szCs w:val="36"/>
          <w:u w:val="none"/>
          <w:lang w:val="en-US" w:eastAsia="zh-CN"/>
        </w:rPr>
        <w:t>⑥本</w:t>
      </w:r>
      <w:r>
        <w:rPr>
          <w:rFonts w:hint="eastAsia" w:ascii="宋体" w:hAnsi="宋体" w:eastAsia="宋体" w:cs="宋体"/>
          <w:color w:val="auto"/>
          <w:sz w:val="24"/>
          <w:szCs w:val="24"/>
          <w:highlight w:val="none"/>
          <w:lang w:val="en-US" w:eastAsia="zh-CN"/>
        </w:rPr>
        <w:t xml:space="preserve">项目不接受联合体磋商；单位负责人为同一人或者存在控股、管理关系的不同单位不得同时参加本次磋商活动。 </w:t>
      </w:r>
      <w:bookmarkStart w:id="1" w:name="_GoBack"/>
      <w:bookmarkEnd w:id="1"/>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01CC1FB0"/>
    <w:rsid w:val="0E552DBD"/>
    <w:rsid w:val="141B23B3"/>
    <w:rsid w:val="15146A0B"/>
    <w:rsid w:val="172872C1"/>
    <w:rsid w:val="17AF353E"/>
    <w:rsid w:val="1C2A5889"/>
    <w:rsid w:val="29F179E6"/>
    <w:rsid w:val="2BC04E66"/>
    <w:rsid w:val="32A95258"/>
    <w:rsid w:val="360D204B"/>
    <w:rsid w:val="377D0B0B"/>
    <w:rsid w:val="38E0098C"/>
    <w:rsid w:val="3D8A3F82"/>
    <w:rsid w:val="52A64F62"/>
    <w:rsid w:val="54EC29E5"/>
    <w:rsid w:val="558E065B"/>
    <w:rsid w:val="607B63C3"/>
    <w:rsid w:val="67934C01"/>
    <w:rsid w:val="6E5C7789"/>
    <w:rsid w:val="7335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2475</Words>
  <Characters>2588</Characters>
  <Lines>0</Lines>
  <Paragraphs>0</Paragraphs>
  <TotalTime>1</TotalTime>
  <ScaleCrop>false</ScaleCrop>
  <LinksUpToDate>false</LinksUpToDate>
  <CharactersWithSpaces>3209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2025-10-18T13:03:29Z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eyJoZGlkIjoiNWQyYTlkYjRhOTgwNmIyYTY2YmFkNjBhMmYyYjI5ZDAiLCJ1c2VySWQiOiIyMjMwNDA4NjYifQ==</vt:lpwstr>
  </property>
  <property fmtid="{D5CDD505-2E9C-101B-9397-08002B2CF9AE}" pid="4" name="ICV">
    <vt:lpwstr>72088E3E1CCA487BADD2EF3C39284FBF_13</vt:lpwstr>
  </property>
</Properties>
</file>