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版本号：HZJ-HZ-2025-00620251112002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2025年南郑区牟家坝镇茶园产业道路建设项目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HZJ-HZ-2025-006</w:t>
      </w:r>
      <w:r>
        <w:br/>
      </w:r>
      <w:r>
        <w:br/>
      </w:r>
      <w:r>
        <w:br/>
      </w:r>
    </w:p>
    <w:p>
      <w:pPr>
        <w:pStyle w:val="null3"/>
        <w:jc w:val="center"/>
        <w:outlineLvl w:val="2"/>
      </w:pPr>
      <w:r>
        <w:rPr>
          <w:rFonts w:ascii="仿宋_GB2312" w:hAnsi="仿宋_GB2312" w:cs="仿宋_GB2312" w:eastAsia="仿宋_GB2312"/>
          <w:sz w:val="28"/>
          <w:b/>
        </w:rPr>
        <w:t>汉中市南郑区牟家坝镇人民政府</w:t>
      </w:r>
    </w:p>
    <w:p>
      <w:pPr>
        <w:pStyle w:val="null3"/>
        <w:jc w:val="center"/>
        <w:outlineLvl w:val="2"/>
      </w:pPr>
      <w:r>
        <w:rPr>
          <w:rFonts w:ascii="仿宋_GB2312" w:hAnsi="仿宋_GB2312" w:cs="仿宋_GB2312" w:eastAsia="仿宋_GB2312"/>
          <w:sz w:val="28"/>
          <w:b/>
        </w:rPr>
        <w:t>华智建项目管理有限公司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汉中市南郑区牟家坝镇人民政府</w:t>
      </w:r>
      <w:r>
        <w:rPr>
          <w:rFonts w:ascii="仿宋_GB2312" w:hAnsi="仿宋_GB2312" w:cs="仿宋_GB2312" w:eastAsia="仿宋_GB2312"/>
        </w:rPr>
        <w:t>委托，拟对</w:t>
      </w:r>
      <w:r>
        <w:rPr>
          <w:rFonts w:ascii="仿宋_GB2312" w:hAnsi="仿宋_GB2312" w:cs="仿宋_GB2312" w:eastAsia="仿宋_GB2312"/>
        </w:rPr>
        <w:t>2025年南郑区牟家坝镇茶园产业道路建设项目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HZJ-HZ-2025-006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2025年南郑区牟家坝镇茶园产业道路建设项目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硬化马仙坝村、幸福桥村硬化产业道路1500米，路基宽4.5米，硬化路面3.5米，厚18厘米，铺设管涵36米，浆砌片石挡墙125立方米，边沟1000米，及配套设施；主要功能或目标:改善茶园生产条件，提升效益，提高群众发展产业积极性，增加群众收入；需满足的要求:符合国家验收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采购包1（2025年南郑区牟家坝镇茶园产业道路建设项目）：属于专门面向中小企业采购。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2、供应商资质及专业要求：供应商具有行政主管部门核发的公路工程施工总承包三级(含二级)及以上资质，且具有有效的安全生产许可证</w:t>
      </w:r>
    </w:p>
    <w:p>
      <w:pPr>
        <w:pStyle w:val="null3"/>
      </w:pPr>
      <w:r>
        <w:rPr>
          <w:rFonts w:ascii="仿宋_GB2312" w:hAnsi="仿宋_GB2312" w:cs="仿宋_GB2312" w:eastAsia="仿宋_GB2312"/>
        </w:rPr>
        <w:t>3、法定代表人或授权代表人：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4、拟派项目负责人资质和专业要求。：拟派项目经理须具备公路工程专业二级(含二级)以上注册建造师资格和安全生产考核合格B证，且无在建项目(需提供无在建承诺书)</w:t>
      </w:r>
    </w:p>
    <w:p>
      <w:pPr>
        <w:pStyle w:val="null3"/>
      </w:pPr>
      <w:r>
        <w:rPr>
          <w:rFonts w:ascii="仿宋_GB2312" w:hAnsi="仿宋_GB2312" w:cs="仿宋_GB2312" w:eastAsia="仿宋_GB2312"/>
        </w:rPr>
        <w:t>5、供应商信誉要求：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汉中市南郑区牟家坝镇人民政府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牟家坝镇人民政府中街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汉中市南郑区牟家坝镇人民政府府经办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18291662220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陕西省西安市莲湖区陕西省西安市莲湖区丰庆路48号1幢308室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13335442150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代理服务费收费标准：本项目招标代理服务费按照国家计委颁布的《代理服务收费管理暂行办法》（计价格【2002】1980号）、发改办价格【2003】857号规定的收取。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汉中市南郑区牟家坝镇人民政府</w:t>
      </w:r>
      <w:r>
        <w:rPr>
          <w:rFonts w:ascii="仿宋_GB2312" w:hAnsi="仿宋_GB2312" w:cs="仿宋_GB2312" w:eastAsia="仿宋_GB2312"/>
        </w:rPr>
        <w:t>和</w:t>
      </w:r>
      <w:r>
        <w:rPr>
          <w:rFonts w:ascii="仿宋_GB2312" w:hAnsi="仿宋_GB2312" w:cs="仿宋_GB2312" w:eastAsia="仿宋_GB2312"/>
        </w:rPr>
        <w:t>华智建项目管理有限公司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汉中市南郑区牟家坝镇人民政府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汉中市南郑区牟家坝镇人民政府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华智建项目管理有限公司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联系人：曹宁</w:t>
      </w:r>
    </w:p>
    <w:p>
      <w:pPr>
        <w:pStyle w:val="null3"/>
      </w:pPr>
      <w:r>
        <w:rPr>
          <w:rFonts w:ascii="仿宋_GB2312" w:hAnsi="仿宋_GB2312" w:cs="仿宋_GB2312" w:eastAsia="仿宋_GB2312"/>
        </w:rPr>
        <w:t>联系电话：13335442150</w:t>
      </w:r>
    </w:p>
    <w:p>
      <w:pPr>
        <w:pStyle w:val="null3"/>
      </w:pPr>
      <w:r>
        <w:rPr>
          <w:rFonts w:ascii="仿宋_GB2312" w:hAnsi="仿宋_GB2312" w:cs="仿宋_GB2312" w:eastAsia="仿宋_GB2312"/>
        </w:rPr>
        <w:t>地址：陕西省西安市莲湖区陕西省西安市莲湖区丰庆路48号1幢308室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硬化马仙坝村、幸福桥村硬化产业道路1500米，路基宽4.5米，硬化路面3.5米，厚18cm,铺设管涵36米，浆砌片石挡墙125立方米，边沟1000米，及配套设施。</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标的名称：硬化马仙坝村、幸福桥村硬化产业道路1500米，路基宽4.5米，硬化路面3.5米，厚18cm,铺设管涵36米，浆砌片石挡墙125立方米，边沟1000米，及配套设施。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依据《公路工程技术标准》（</w:t>
            </w:r>
            <w:r>
              <w:rPr>
                <w:rFonts w:ascii="仿宋_GB2312" w:hAnsi="仿宋_GB2312" w:cs="仿宋_GB2312" w:eastAsia="仿宋_GB2312"/>
                <w:sz w:val="21"/>
                <w:color w:val="000000"/>
              </w:rPr>
              <w:t>JTG B01－2014）、《公路路线设计规范》(JTGD20-2017) 、《小交通量农村公路工程技术标准》 (JTG2111-2019)及《陕西省农村公路技术标准》中的有关规定要求，全面贯彻《新理念公路设计指南》、《降低造价公路设计指南》的思想，在主要技术指标的掌握上，尽可能采用相适应的技术指标，不追求脱离地形条件的高标准，但也不轻易采用技术标准规定的最小值。在满足技术标准、不过多增加工程量的前提下，适当改善技术指标，以保证车辆行车的连续性和安全性，从而提高公路的整体使用质量。</w:t>
            </w:r>
          </w:p>
          <w:p>
            <w:pPr>
              <w:pStyle w:val="null3"/>
            </w:pPr>
            <w:r>
              <w:rPr>
                <w:rFonts w:ascii="仿宋_GB2312" w:hAnsi="仿宋_GB2312" w:cs="仿宋_GB2312" w:eastAsia="仿宋_GB2312"/>
                <w:sz w:val="21"/>
                <w:color w:val="000000"/>
              </w:rPr>
              <w:t>本项目全线采用四级公路（</w:t>
            </w:r>
            <w:r>
              <w:rPr>
                <w:rFonts w:ascii="仿宋_GB2312" w:hAnsi="仿宋_GB2312" w:cs="仿宋_GB2312" w:eastAsia="仿宋_GB2312"/>
                <w:sz w:val="21"/>
                <w:color w:val="000000"/>
              </w:rPr>
              <w:t>Ⅱ类）技术标准，设计速度 15 公里/小时，路基宽度 5.5m，路面宽度 4.5m，两侧各 0.50m 宽土路肩，路面采用水泥混凝土路面。桥涵设计汽车荷载采用公路-Ⅱ级，其余指标按部颁《小交通量农村公路工程技术标准》（JTG 2111-2019）执行。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工期：</w:t>
            </w:r>
            <w:r>
              <w:rPr>
                <w:rFonts w:ascii="仿宋_GB2312" w:hAnsi="仿宋_GB2312" w:cs="仿宋_GB2312" w:eastAsia="仿宋_GB2312"/>
                <w:sz w:val="21"/>
                <w:color w:val="000000"/>
              </w:rPr>
              <w:t>90日历天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贰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供应商资质及专业要求</w:t>
            </w:r>
          </w:p>
        </w:tc>
        <w:tc>
          <w:tcPr>
            <w:tcW w:type="dxa" w:w="3322"/>
          </w:tcPr>
          <w:p>
            <w:pPr>
              <w:pStyle w:val="null3"/>
            </w:pPr>
            <w:r>
              <w:rPr>
                <w:rFonts w:ascii="仿宋_GB2312" w:hAnsi="仿宋_GB2312" w:cs="仿宋_GB2312" w:eastAsia="仿宋_GB2312"/>
              </w:rPr>
              <w:t>供应商具有行政主管部门核发的公路工程施工总承包三级(含二级)及以上资质，且具有有效的安全生产许可证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法定代表人或授权代表人</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拟派项目经理须具备公路工程专业二级(含二级)以上注册建造师资格和安全生产考核合格B证，且无在建项目(需提供无在建承诺书)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完成承诺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供应商提供近三年(2022年10月-至今）完成类似项目业绩(时间以中标通知书时间为准)，每提供1个业绩得1分，此项最高得4分;注:业绩评审需提供项目中标(成交)通知书或施工合同复印件，缺一无效)。</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①施工目标：每完全满足一个评审标准得2分，满分6分； ②施工平面布置与安排：每完全满足一个评审标准得1分，满分3分；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一、人员配置与职责（4 分）①（1-3 分）：组织架构含项目经理、项目总工、安全员 3 岗，未明确 “分段施工分工”“土路肩整形专项职责”；②（3.1-4 分）：组织架构完整（项目经理、项目总工 、质量员、安全员、施工员、资料员6岗），岗位职责匹配项目特性，人员数量满足需求； 二、人员稳定性承诺（2 分）①承诺函明确：关键人员施工期不更换，内容完整得 2 分；②缺核心条款得 1 分；未提供得 0 分 三、缺项处理：未提供人员安排方案得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项目拟派人员安排.docx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供应商编制完善的施工总进度计划，内容包含：①施工总进度：施工进度目标和施工总进度计划表，②施工进度保障措施。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①施工总进度：每完全满足一个评审标准得1分，满分3分；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文明施工措施.docx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①安全管理制度：每完全满足一个评审标准得0.5分，满分1.5分； ②安全责任归属划分：每完全满足一个评审标准得0.5分，满1.5分；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安全生产管理体系及保证措施.docx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环境保护措施.docx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供应商针对本项目编制主要管理措施，内容包含：①分部分项工程施工方法②成品保护措施③季节性施工措施④工程重难点及解决措施⑤施工质量通病防治措施⑥为完成本项目所涉及的所有应急方案。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①分部分项工程施工方法：每完全满足一个评审标准得1分，满分3分； ②成品保护措施：每完全满足一个评审标准得0.5分，满分1.5分； ③季节性施工措施：每完全满足一个评审标准得0.5分，满1.5分； ④工程重难点及解决措施：每完全满足一个评审标准得1分，满分3分； ⑤施工质量通病防治措施：每完全满足一个评审标准得0.5分，满分1.5分。 ⑥为完成本项目所涉及的所有应急方案：每完全满足一个评审标准得0.5分，满分1.5分。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主要管理措施.docx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一、评审内容:供应商针对本项目编制完善的资源配置计划，内容包含:①劳动力资源配置计划;②施工机械设备投入计划;③主要施工材料供应计划。 二、评审标准:1、完整性:方案必须全面，对评审内容中的各项要求有详细描述;2、可实施性:切合本项目实际情况，提出步骤清晰、合理的方案;3、针对性:方案能够紧扣项目实际情况，内容科学合理。 三、赋分标准:①劳动力资源配置计划:每完全满足一个评审标准得0.5分，满分1.5分;②施工机械设备投入计划:每完全满足一个评审标准得1分，满分3分;③主要施工材料供应计划:每完全满足一个评审标准得 0.5分，满分1.5分;④未提供者不得分。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资源配置计划.docx</w:t>
            </w:r>
          </w:p>
          <w:p>
            <w:pPr>
              <w:pStyle w:val="null3"/>
            </w:pPr>
            <w:r>
              <w:rPr>
                <w:rFonts w:ascii="仿宋_GB2312" w:hAnsi="仿宋_GB2312" w:cs="仿宋_GB2312" w:eastAsia="仿宋_GB2312"/>
              </w:rPr>
              <w:t>供应商认为需要说明的其他事宜.docx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详见附件：项目拟派人员安排.docx</w:t>
      </w:r>
    </w:p>
    <w:p>
      <w:pPr>
        <w:pStyle w:val="null3"/>
        <w:ind w:firstLine="960"/>
      </w:pPr>
      <w:r>
        <w:rPr>
          <w:rFonts w:ascii="仿宋_GB2312" w:hAnsi="仿宋_GB2312" w:cs="仿宋_GB2312" w:eastAsia="仿宋_GB2312"/>
        </w:rPr>
        <w:t>详见附件：施工进度计划.docx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详见附件：文明施工措施.docx</w:t>
      </w:r>
    </w:p>
    <w:p>
      <w:pPr>
        <w:pStyle w:val="null3"/>
        <w:ind w:firstLine="960"/>
      </w:pPr>
      <w:r>
        <w:rPr>
          <w:rFonts w:ascii="仿宋_GB2312" w:hAnsi="仿宋_GB2312" w:cs="仿宋_GB2312" w:eastAsia="仿宋_GB2312"/>
        </w:rPr>
        <w:t>详见附件：安全生产管理体系及保证措施.docx</w:t>
      </w:r>
    </w:p>
    <w:p>
      <w:pPr>
        <w:pStyle w:val="null3"/>
        <w:ind w:firstLine="960"/>
      </w:pPr>
      <w:r>
        <w:rPr>
          <w:rFonts w:ascii="仿宋_GB2312" w:hAnsi="仿宋_GB2312" w:cs="仿宋_GB2312" w:eastAsia="仿宋_GB2312"/>
        </w:rPr>
        <w:t>详见附件：环境保护措施.docx</w:t>
      </w:r>
    </w:p>
    <w:p>
      <w:pPr>
        <w:pStyle w:val="null3"/>
        <w:ind w:firstLine="960"/>
      </w:pPr>
      <w:r>
        <w:rPr>
          <w:rFonts w:ascii="仿宋_GB2312" w:hAnsi="仿宋_GB2312" w:cs="仿宋_GB2312" w:eastAsia="仿宋_GB2312"/>
        </w:rPr>
        <w:t>详见附件：主要管理措施.docx</w:t>
      </w:r>
    </w:p>
    <w:p>
      <w:pPr>
        <w:pStyle w:val="null3"/>
        <w:ind w:firstLine="960"/>
      </w:pPr>
      <w:r>
        <w:rPr>
          <w:rFonts w:ascii="仿宋_GB2312" w:hAnsi="仿宋_GB2312" w:cs="仿宋_GB2312" w:eastAsia="仿宋_GB2312"/>
        </w:rPr>
        <w:t>详见附件：资源配置计划.docx</w:t>
      </w:r>
    </w:p>
    <w:p>
      <w:pPr>
        <w:pStyle w:val="null3"/>
        <w:ind w:firstLine="960"/>
      </w:pPr>
      <w:r>
        <w:rPr>
          <w:rFonts w:ascii="仿宋_GB2312" w:hAnsi="仿宋_GB2312" w:cs="仿宋_GB2312" w:eastAsia="仿宋_GB2312"/>
        </w:rPr>
        <w:t>详见附件：供应商认为需要说明的其他事宜.docx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