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版本号：SXBPRZB-2025103220251028001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2025年南郑区黄官镇武营村人居环境整治项目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SXBPRZB-20251032</w:t>
      </w:r>
      <w:r>
        <w:br/>
      </w:r>
      <w:r>
        <w:br/>
      </w:r>
      <w:r>
        <w:br/>
      </w:r>
    </w:p>
    <w:p>
      <w:pPr>
        <w:pStyle w:val="null3"/>
        <w:jc w:val="center"/>
        <w:outlineLvl w:val="2"/>
      </w:pPr>
      <w:r>
        <w:rPr>
          <w:rFonts w:ascii="仿宋_GB2312" w:hAnsi="仿宋_GB2312" w:cs="仿宋_GB2312" w:eastAsia="仿宋_GB2312"/>
          <w:sz w:val="28"/>
          <w:b/>
        </w:rPr>
        <w:t>汉中市南郑区黄官镇人民政府</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 xml:space="preserve">汉中市南郑区黄官镇人民政府 </w:t>
      </w:r>
      <w:r>
        <w:rPr>
          <w:rFonts w:ascii="仿宋_GB2312" w:hAnsi="仿宋_GB2312" w:cs="仿宋_GB2312" w:eastAsia="仿宋_GB2312"/>
        </w:rPr>
        <w:t>委托，拟对</w:t>
      </w:r>
      <w:r>
        <w:rPr>
          <w:rFonts w:ascii="仿宋_GB2312" w:hAnsi="仿宋_GB2312" w:cs="仿宋_GB2312" w:eastAsia="仿宋_GB2312"/>
        </w:rPr>
        <w:t>2025年南郑区黄官镇武营村人居环境整治项目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SXBPRZB-20251032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2025年南郑区黄官镇武营村人居环境整治项目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黄官镇武营村人居环境整治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采购包1（黄官镇武营村人居环境整治）：属于专门面向中小企业采购。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2、法定代表人身份证明书原件：法定代表人身份证明书原件</w:t>
      </w:r>
    </w:p>
    <w:p>
      <w:pPr>
        <w:pStyle w:val="null3"/>
      </w:pPr>
      <w:r>
        <w:rPr>
          <w:rFonts w:ascii="仿宋_GB2312" w:hAnsi="仿宋_GB2312" w:cs="仿宋_GB2312" w:eastAsia="仿宋_GB2312"/>
        </w:rPr>
        <w:t>3、具有良好的商业信誉和健全的财务会计制度,具有履行合同所必需的设备和专业技术能力，具有依法缴纳税收和社会保障金的良好记录，参加本项目采购活动前三年内无重大违法活动记录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ccgp.gov.cn)，提供《汉中市政府采购供应商资格承诺函》：提供《汉中市政府采购供应商资格承诺函》</w:t>
      </w:r>
    </w:p>
    <w:p>
      <w:pPr>
        <w:pStyle w:val="null3"/>
      </w:pPr>
      <w:r>
        <w:rPr>
          <w:rFonts w:ascii="仿宋_GB2312" w:hAnsi="仿宋_GB2312" w:cs="仿宋_GB2312" w:eastAsia="仿宋_GB2312"/>
        </w:rPr>
        <w:t>4、具有建设行政部门颁发的建筑工程施工总承包或市政公用工程施工总承包三级及以上资质，具有安全生产许可证；拟派项目经理须具有建设行政部门颁发的建筑工程专业或市政公用工程专业二级及以上注册建造师资格，并具有安全生产考核合格证书，且无在建项目（提供无在建项目承诺书）：具有建设行政部门颁发的建筑工程施工总承包或市政公用工程施工总承包三级及以上资质，具有安全生产许可证；拟派项目经理须具有建设行政部门颁发的建筑工程专业或市政公用工程专业二级及以上注册建造师资格，并具有安全生产考核合格证书，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汉中市南郑区黄官镇人民政府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黄官镇南大街44号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汉中市南郑区黄官镇人民政府经办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18628639319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汉台区兴汉路南缙颐·久玺台售楼部2楼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0916-8889891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展改革委员会办公厅颁发的《关于采购代理服务收费有关问题的通知》（发改办价格[2003] 857号）、《国家发展改革委关于降低部分建设项目收费标准规范收费行为等有关问题的通知》（发改价格[2011]534号）的有关规定。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 xml:space="preserve">汉中市南郑区黄官镇人民政府 </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 xml:space="preserve">汉中市南郑区黄官镇人民政府 </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 xml:space="preserve">汉中市南郑区黄官镇人民政府 </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1、国家相关标准、规范及有关技术文件。 2、合同、竞争性磋商文件、竞争性磋商响应文件及承诺。</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联系人：邓工</w:t>
      </w:r>
    </w:p>
    <w:p>
      <w:pPr>
        <w:pStyle w:val="null3"/>
      </w:pPr>
      <w:r>
        <w:rPr>
          <w:rFonts w:ascii="仿宋_GB2312" w:hAnsi="仿宋_GB2312" w:cs="仿宋_GB2312" w:eastAsia="仿宋_GB2312"/>
        </w:rPr>
        <w:t>联系电话：0916-8889891</w:t>
      </w:r>
    </w:p>
    <w:p>
      <w:pPr>
        <w:pStyle w:val="null3"/>
      </w:pPr>
      <w:r>
        <w:rPr>
          <w:rFonts w:ascii="仿宋_GB2312" w:hAnsi="仿宋_GB2312" w:cs="仿宋_GB2312" w:eastAsia="仿宋_GB2312"/>
        </w:rPr>
        <w:t>地址：汉台区兴汉路南缙颐·久玺台售楼部2楼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人居环境整治</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标的名称：人居环境整治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1、国家相关标准、规范及相关技术文件。 2、合同、竞争性磋商文件、竞争性磋商响应文件及承诺。</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法定代表人身份证明书原件</w:t>
            </w:r>
          </w:p>
        </w:tc>
        <w:tc>
          <w:tcPr>
            <w:tcW w:type="dxa" w:w="3322"/>
          </w:tcPr>
          <w:p>
            <w:pPr>
              <w:pStyle w:val="null3"/>
            </w:pPr>
            <w:r>
              <w:rPr>
                <w:rFonts w:ascii="仿宋_GB2312" w:hAnsi="仿宋_GB2312" w:cs="仿宋_GB2312" w:eastAsia="仿宋_GB2312"/>
              </w:rPr>
              <w:t>法定代表人身份证明书原件</w:t>
            </w:r>
          </w:p>
        </w:tc>
        <w:tc>
          <w:tcPr>
            <w:tcW w:type="dxa" w:w="1661"/>
          </w:tcPr>
          <w:p>
            <w:pPr>
              <w:pStyle w:val="null3"/>
            </w:pPr>
            <w:r>
              <w:rPr>
                <w:rFonts w:ascii="仿宋_GB2312" w:hAnsi="仿宋_GB2312" w:cs="仿宋_GB2312" w:eastAsia="仿宋_GB2312"/>
              </w:rPr>
              <w:t>法定代表人身份证明书.docx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ccgp.gov.cn)，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建设行政部门颁发的建筑工程施工总承包或市政公用工程施工总承包三级及以上资质，具有安全生产许可证；拟派项目经理须具有建设行政部门颁发的建筑工程专业或市政公用工程专业二级及以上注册建造师资格，并具有安全生产考核合格证书，且无在建项目（提供无在建项目承诺书）</w:t>
            </w:r>
          </w:p>
        </w:tc>
        <w:tc>
          <w:tcPr>
            <w:tcW w:type="dxa" w:w="3322"/>
          </w:tcPr>
          <w:p>
            <w:pPr>
              <w:pStyle w:val="null3"/>
            </w:pPr>
            <w:r>
              <w:rPr>
                <w:rFonts w:ascii="仿宋_GB2312" w:hAnsi="仿宋_GB2312" w:cs="仿宋_GB2312" w:eastAsia="仿宋_GB2312"/>
              </w:rPr>
              <w:t>具有建设行政部门颁发的建筑工程施工总承包或市政公用工程施工总承包三级及以上资质，具有安全生产许可证；拟派项目经理须具有建设行政部门颁发的建筑工程专业或市政公用工程专业二级及以上注册建造师资格，并具有安全生产考核合格证书，且无在建项目（提供无在建项目承诺书）</w:t>
            </w:r>
          </w:p>
        </w:tc>
        <w:tc>
          <w:tcPr>
            <w:tcW w:type="dxa" w:w="1661"/>
          </w:tcPr>
          <w:p>
            <w:pPr>
              <w:pStyle w:val="null3"/>
            </w:pPr>
            <w:r>
              <w:rPr>
                <w:rFonts w:ascii="仿宋_GB2312" w:hAnsi="仿宋_GB2312" w:cs="仿宋_GB2312" w:eastAsia="仿宋_GB2312"/>
              </w:rPr>
              <w:t>项目管理机构组成表 供应商应提交的相关资格证明材料 无在建承诺书.docx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响应文件封面及内容</w:t>
            </w:r>
          </w:p>
        </w:tc>
        <w:tc>
          <w:tcPr>
            <w:tcW w:type="dxa" w:w="3322"/>
          </w:tcPr>
          <w:p>
            <w:pPr>
              <w:pStyle w:val="null3"/>
            </w:pPr>
            <w:r>
              <w:rPr>
                <w:rFonts w:ascii="仿宋_GB2312" w:hAnsi="仿宋_GB2312" w:cs="仿宋_GB2312" w:eastAsia="仿宋_GB2312"/>
              </w:rPr>
              <w:t>签字盖章是否有效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响应内容是否实质性响应</w:t>
            </w:r>
          </w:p>
        </w:tc>
        <w:tc>
          <w:tcPr>
            <w:tcW w:type="dxa" w:w="3322"/>
          </w:tcPr>
          <w:p>
            <w:pPr>
              <w:pStyle w:val="null3"/>
            </w:pPr>
            <w:r>
              <w:rPr>
                <w:rFonts w:ascii="仿宋_GB2312" w:hAnsi="仿宋_GB2312" w:cs="仿宋_GB2312" w:eastAsia="仿宋_GB2312"/>
              </w:rPr>
              <w:t>响应内容是否实质性响应</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方案完善合理、切实可行，得10-15分；方案基本完善合理、基本可行，得5-9.9分；方案较差，得0-4.9分。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据供应商针对本项目质量管理体系及保证措施响应情况赋分。措施完善合理、切实可行，得8-12分；措施基本完善合理、基本可行，得4-7.9分；措施较差，得0-3.9分。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据供应商针对本项目安全管理体系及保证措施响应情况赋分。措施完善合理、切实可行，得7-10分；措施基本完善合理、基本可行，得3-6.9分；措施较差，得0-2.9分。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措施合理、科学先进，突出治污减霾。 措施完善合理、切实可行，得5-8分；措施基本完善合理、基本可行，得3-4.9分；措施较差，得0-2.9分。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措施完善合理、切实可行，得4-6分；措施基本完善合理、基本可行，得2-3.9分；措施较差，得0-1.9分。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设备配备和材料投入计划</w:t>
            </w:r>
          </w:p>
        </w:tc>
        <w:tc>
          <w:tcPr>
            <w:tcW w:type="dxa" w:w="2492"/>
          </w:tcPr>
          <w:p>
            <w:pPr>
              <w:pStyle w:val="null3"/>
            </w:pPr>
            <w:r>
              <w:rPr>
                <w:rFonts w:ascii="仿宋_GB2312" w:hAnsi="仿宋_GB2312" w:cs="仿宋_GB2312" w:eastAsia="仿宋_GB2312"/>
              </w:rPr>
              <w:t>拟投入的施工设备情况及拟投入材料计划。计划完善合理、切实可行，得3-5分；计划较差，得0-2.9分。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项目部人员配备情况</w:t>
            </w:r>
          </w:p>
        </w:tc>
        <w:tc>
          <w:tcPr>
            <w:tcW w:type="dxa" w:w="2492"/>
          </w:tcPr>
          <w:p>
            <w:pPr>
              <w:pStyle w:val="null3"/>
            </w:pPr>
            <w:r>
              <w:rPr>
                <w:rFonts w:ascii="仿宋_GB2312" w:hAnsi="仿宋_GB2312" w:cs="仿宋_GB2312" w:eastAsia="仿宋_GB2312"/>
              </w:rPr>
              <w:t>配备合理、分工科学、专业知识构架全面、岗位职责明确，人员数量充足，经验丰富，得3-5分；配备简单、分工科学、专业知识构架不够全面，岗位职责基本明确，人员数量基本足够，经验不足，得0-2.9分。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商务标.docx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自本项目投标截止之日起三年内类似项目的业绩，每个业绩得1分，最高得3分，以签订的合同原件或复印件为准。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商务标.docx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质量保修承诺完整、合理及后续服务条款具体、可行，得3-6分；质量保修承诺含糊及后续服务条款基本可行，得0-2.9分；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满足磋商文件要求且磋商响应最低的报价（最后的响应报价）为评标基准价，其价格分为满分。其他磋商供应商的价格分统一按照下列公式计算：磋商报价得分=（评标基准价/磋商报价）×价格权值%×100。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详见附件：商务标.docx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详见附件：无在建承诺书.docx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详见附件：政府采购合同主要条款格式（工程）.docx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