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版本号：HXCG-2025-HZ-10-0420251029001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南郑区黄官镇塘口至张家湾九组道路路面提升改造工程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HXCG-2025-HZ-10-04</w:t>
      </w:r>
      <w:r>
        <w:br/>
      </w:r>
      <w:r>
        <w:br/>
      </w:r>
      <w:r>
        <w:br/>
      </w:r>
    </w:p>
    <w:p>
      <w:pPr>
        <w:pStyle w:val="null3"/>
        <w:jc w:val="center"/>
        <w:outlineLvl w:val="2"/>
      </w:pPr>
      <w:r>
        <w:rPr>
          <w:rFonts w:ascii="仿宋_GB2312" w:hAnsi="仿宋_GB2312" w:cs="仿宋_GB2312" w:eastAsia="仿宋_GB2312"/>
          <w:sz w:val="28"/>
          <w:b/>
        </w:rPr>
        <w:t>汉中市南郑区交通运输局</w:t>
      </w:r>
    </w:p>
    <w:p>
      <w:pPr>
        <w:pStyle w:val="null3"/>
        <w:jc w:val="center"/>
        <w:outlineLvl w:val="2"/>
      </w:pPr>
      <w:r>
        <w:rPr>
          <w:rFonts w:ascii="仿宋_GB2312" w:hAnsi="仿宋_GB2312" w:cs="仿宋_GB2312" w:eastAsia="仿宋_GB2312"/>
          <w:sz w:val="28"/>
          <w:b/>
        </w:rPr>
        <w:t>横信项目管理有限公司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横信项目管理有限公司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汉中市南郑区交通运输局</w:t>
      </w:r>
      <w:r>
        <w:rPr>
          <w:rFonts w:ascii="仿宋_GB2312" w:hAnsi="仿宋_GB2312" w:cs="仿宋_GB2312" w:eastAsia="仿宋_GB2312"/>
        </w:rPr>
        <w:t>委托，拟对</w:t>
      </w:r>
      <w:r>
        <w:rPr>
          <w:rFonts w:ascii="仿宋_GB2312" w:hAnsi="仿宋_GB2312" w:cs="仿宋_GB2312" w:eastAsia="仿宋_GB2312"/>
        </w:rPr>
        <w:t>南郑区黄官镇塘口至张家湾九组道路路面提升改造工程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HXCG-2025-HZ-10-04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南郑区黄官镇塘口至张家湾九组道路路面提升改造工程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提升改造工程全段长3.00公里。其中挖除病害路面960.80立方米，挖除旧路基层640.40立方米，铺设18厘米厚4.0Mpa水泥混凝土路面5837.50平方米，铺设16厘米厚2.5Mpa水稳碎石基层4835.80平方米。。具体建设内容以工程量清单描述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采购包1（南郑区黄官镇塘口至张家湾村九组道路路面提升改造工程）：属于专门面向中小企业采购。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企业法人、事业法人、其他组织，提供营业执照原件（事业单位须事业单位法人证、组织机构代码证等证明文件；其他组织应提供合法证明文件）；：供应商为具有独立承担民事责任能力的企业法人、事业法人、其他组织，提供营业执照原件（事业单位须事业单位法人证、组织机构代码证等证明文件；其他组织应提供合法证明文件）；</w:t>
      </w:r>
    </w:p>
    <w:p>
      <w:pPr>
        <w:pStyle w:val="null3"/>
      </w:pPr>
      <w:r>
        <w:rPr>
          <w:rFonts w:ascii="仿宋_GB2312" w:hAnsi="仿宋_GB2312" w:cs="仿宋_GB2312" w:eastAsia="仿宋_GB2312"/>
        </w:rPr>
        <w:t>2、法定代表人直接参加磋商的，须出具法人身份证(附法定代表人身份证复印件);法定代表人授权代表参加磋商的，须出具法定代表人授权书及授权代表身份证(附法定代表人身份证复印件及被授权人身份证复印件)。：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具有行政主管部门核发的公路工程施工总承包三级（含三级）及以上资质，且具有有效的安全生产许可证；：供应商具有行政主管部门核发的公路工程施工总承包三级（含三级）及以上资质，且具有有效的安全生产许可证；</w:t>
      </w:r>
    </w:p>
    <w:p>
      <w:pPr>
        <w:pStyle w:val="null3"/>
      </w:pPr>
      <w:r>
        <w:rPr>
          <w:rFonts w:ascii="仿宋_GB2312" w:hAnsi="仿宋_GB2312" w:cs="仿宋_GB2312" w:eastAsia="仿宋_GB2312"/>
        </w:rPr>
        <w:t>4、拟派项目经理须具备公路工程专业二级（含二级）以上注册建造师资格和安全生产考核合格B证，且无在建项目：拟派项目经理须具备公路工程专业二级（含二级）以上注册建造师资格和安全生产考核合格B证，且无在建项目</w:t>
      </w:r>
    </w:p>
    <w:p>
      <w:pPr>
        <w:pStyle w:val="null3"/>
      </w:pPr>
      <w:r>
        <w:rPr>
          <w:rFonts w:ascii="仿宋_GB2312" w:hAnsi="仿宋_GB2312" w:cs="仿宋_GB2312" w:eastAsia="仿宋_GB2312"/>
        </w:rPr>
        <w:t>5、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6、本项目不接受联合体磋商；：本项目不接受联合体磋商（提供非联合体声明）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陕西省汉中市南郑区汉山街道办东大街39号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0916-5512466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横信项目管理有限公司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陕西省西安市经济技术开发区首创国际城八期64栋楼307室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18309161539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0916-2995312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开户名称：横信项目管理有限公司汉中分公司</w:t>
            </w:r>
          </w:p>
          <w:p>
            <w:pPr>
              <w:pStyle w:val="null3"/>
            </w:pPr>
            <w:r>
              <w:rPr>
                <w:rFonts w:ascii="仿宋_GB2312" w:hAnsi="仿宋_GB2312" w:cs="仿宋_GB2312" w:eastAsia="仿宋_GB2312"/>
              </w:rPr>
              <w:t>开户银行：中国农业银行股份有限公司汉中东一环路支行</w:t>
            </w:r>
          </w:p>
          <w:p>
            <w:pPr>
              <w:pStyle w:val="null3"/>
            </w:pPr>
            <w:r>
              <w:rPr>
                <w:rFonts w:ascii="仿宋_GB2312" w:hAnsi="仿宋_GB2312" w:cs="仿宋_GB2312" w:eastAsia="仿宋_GB2312"/>
              </w:rPr>
              <w:t>银行账号：26650401040002274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说明：合同签订后向采购人缴纳履约保证金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汉中市南郑区交通运输局</w:t>
      </w:r>
      <w:r>
        <w:rPr>
          <w:rFonts w:ascii="仿宋_GB2312" w:hAnsi="仿宋_GB2312" w:cs="仿宋_GB2312" w:eastAsia="仿宋_GB2312"/>
        </w:rPr>
        <w:t>和</w:t>
      </w:r>
      <w:r>
        <w:rPr>
          <w:rFonts w:ascii="仿宋_GB2312" w:hAnsi="仿宋_GB2312" w:cs="仿宋_GB2312" w:eastAsia="仿宋_GB2312"/>
        </w:rPr>
        <w:t>横信项目管理有限公司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横信项目管理有限公司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横信项目管理有限公司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符合行业相关验收标准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联系电话：18309161539</w:t>
      </w:r>
    </w:p>
    <w:p>
      <w:pPr>
        <w:pStyle w:val="null3"/>
      </w:pPr>
      <w:r>
        <w:rPr>
          <w:rFonts w:ascii="仿宋_GB2312" w:hAnsi="仿宋_GB2312" w:cs="仿宋_GB2312" w:eastAsia="仿宋_GB2312"/>
        </w:rPr>
        <w:t>地址：陕西省西安市经济技术开发区首创国际城八期64栋楼307室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980,347.00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南郑区黄官镇塘口至张家湾九组道路路面提升改造工程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标的名称：南郑区黄官镇塘口至张家湾九组道路路面提升改造工程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1.依据《公路水泥混凝土路面养护技术规范》（JTJ 073.1-2001）、《公路养护技术标准》（JTG</w:t>
            </w:r>
          </w:p>
          <w:p>
            <w:pPr>
              <w:pStyle w:val="null3"/>
            </w:pPr>
            <w:r>
              <w:rPr>
                <w:rFonts w:ascii="仿宋_GB2312" w:hAnsi="仿宋_GB2312" w:cs="仿宋_GB2312" w:eastAsia="仿宋_GB2312"/>
                <w:sz w:val="24"/>
                <w:color w:val="000000"/>
              </w:rPr>
              <w:t>5110-2023）及《公路技术状况评定标准》（JTG 5210-2018），考虑到自然地质及旧路路面使</w:t>
            </w:r>
          </w:p>
          <w:p>
            <w:pPr>
              <w:pStyle w:val="null3"/>
            </w:pPr>
            <w:r>
              <w:rPr>
                <w:rFonts w:ascii="仿宋_GB2312" w:hAnsi="仿宋_GB2312" w:cs="仿宋_GB2312" w:eastAsia="仿宋_GB2312"/>
                <w:sz w:val="24"/>
                <w:color w:val="000000"/>
              </w:rPr>
              <w:t>用年限超限等因素，结合路面破损状况、行驶质量等确定，以及建设单位意见，最终确定本次</w:t>
            </w:r>
          </w:p>
          <w:p>
            <w:pPr>
              <w:pStyle w:val="null3"/>
            </w:pPr>
            <w:r>
              <w:rPr>
                <w:rFonts w:ascii="仿宋_GB2312" w:hAnsi="仿宋_GB2312" w:cs="仿宋_GB2312" w:eastAsia="仿宋_GB2312"/>
                <w:sz w:val="24"/>
                <w:color w:val="000000"/>
              </w:rPr>
              <w:t>方案对 K151+560～K152+560 段进行结构层重建，并增加路面宽度至 4.0m，对其余路段破损面板</w:t>
            </w:r>
          </w:p>
          <w:p>
            <w:pPr>
              <w:pStyle w:val="null3"/>
            </w:pPr>
            <w:r>
              <w:rPr>
                <w:rFonts w:ascii="仿宋_GB2312" w:hAnsi="仿宋_GB2312" w:cs="仿宋_GB2312" w:eastAsia="仿宋_GB2312"/>
                <w:sz w:val="24"/>
                <w:color w:val="000000"/>
              </w:rPr>
              <w:t>进行换板处理，宽度与旧路一致；</w:t>
            </w:r>
          </w:p>
          <w:p>
            <w:pPr>
              <w:pStyle w:val="null3"/>
            </w:pPr>
            <w:r>
              <w:rPr>
                <w:rFonts w:ascii="仿宋_GB2312" w:hAnsi="仿宋_GB2312" w:cs="仿宋_GB2312" w:eastAsia="仿宋_GB2312"/>
              </w:rPr>
              <w:t>2.工期：120天；</w:t>
            </w:r>
          </w:p>
          <w:p>
            <w:pPr>
              <w:pStyle w:val="null3"/>
            </w:pPr>
            <w:r>
              <w:rPr>
                <w:rFonts w:ascii="仿宋_GB2312" w:hAnsi="仿宋_GB2312" w:cs="仿宋_GB2312" w:eastAsia="仿宋_GB2312"/>
              </w:rPr>
              <w:t>3.质保期：1年</w:t>
            </w:r>
          </w:p>
          <w:p>
            <w:pPr>
              <w:pStyle w:val="null3"/>
            </w:pPr>
            <w:r>
              <w:rPr>
                <w:rFonts w:ascii="仿宋_GB2312" w:hAnsi="仿宋_GB2312" w:cs="仿宋_GB2312" w:eastAsia="仿宋_GB2312"/>
              </w:rPr>
              <w:t>4.采购内容：磋商文件及工程量清单全部内容</w:t>
            </w:r>
          </w:p>
          <w:p>
            <w:pPr>
              <w:pStyle w:val="null3"/>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《公路水泥混凝土路面养护技术规范》（JTJ 073.1-2001）、《公路养护技术标准》（JTG 5110-2023）</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332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本项目不接受联合体磋商（提供非联合体声明）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响应文件上法定代表人或其委托代理人的签字齐全并加盖单位公章</w:t>
            </w:r>
          </w:p>
        </w:tc>
        <w:tc>
          <w:tcPr>
            <w:tcW w:type="dxa" w:w="1661"/>
          </w:tcPr>
          <w:p>
            <w:pPr>
              <w:pStyle w:val="null3"/>
            </w:pPr>
            <w:r>
              <w:rPr>
                <w:rFonts w:ascii="仿宋_GB2312" w:hAnsi="仿宋_GB2312" w:cs="仿宋_GB2312" w:eastAsia="仿宋_GB2312"/>
              </w:rPr>
              <w:t>文明施工措施 已标价工程量清单 资源配置计划 安全施工措施 针对突发事件应急保证措施 中小企业声明函 总体施工方案 供应商应提交的相关资格证明材料 响应文件封面 分部分项工程施工方案 保修方案.docx 质量保证措施 残疾人福利性单位声明函 报价函 业绩情况表 标的清单 提供磋商保证金缴纳凭证 项目拟派人员安排 响应函 施工进度计划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提供磋商保证金缴纳凭证</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一、评审内容:供应商针对本项目编制完善的施工部署,内容包含: ①施工目标;②施工准备 ③施工平面布置与安排。 二、评审标准 :1、完整性:方案必须全面,对评审内容中的各项要求有详细描述;2、可实施性:切合本项目实际情况，提出步清晰、合理的方案;3、针对性:方案能够紧扣项目实际情况，内容科学合理。 三、赋分标准(满分6分):(①施工目标:每完全满足一个评审标准得 0.5分，满分 1.5分; ②施工准备:每完全满足一个评审标准得 0.5 分，满分1.5分;③施工平面布置与安排:每完全满足一个评审标准得1分，满分3分;④未提供者不得分。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总体施工方案</w:t>
            </w:r>
          </w:p>
        </w:tc>
      </w:tr>
      <w:tr>
        <w:tc>
          <w:tcPr>
            <w:tcW w:type="dxa" w:w="831"/>
            <w:vMerge/>
          </w:tcPr>
          <w:p/>
        </w:tc>
        <w:tc>
          <w:tcPr>
            <w:tcW w:type="dxa" w:w="1661"/>
          </w:tcPr>
          <w:p>
            <w:pPr>
              <w:pStyle w:val="null3"/>
            </w:pPr>
            <w:r>
              <w:rPr>
                <w:rFonts w:ascii="仿宋_GB2312" w:hAnsi="仿宋_GB2312" w:cs="仿宋_GB2312" w:eastAsia="仿宋_GB2312"/>
              </w:rPr>
              <w:t>项目拟派人员安排</w:t>
            </w:r>
          </w:p>
        </w:tc>
        <w:tc>
          <w:tcPr>
            <w:tcW w:type="dxa" w:w="2492"/>
          </w:tcPr>
          <w:p>
            <w:pPr>
              <w:pStyle w:val="null3"/>
            </w:pPr>
            <w:r>
              <w:rPr>
                <w:rFonts w:ascii="仿宋_GB2312" w:hAnsi="仿宋_GB2312" w:cs="仿宋_GB2312" w:eastAsia="仿宋_GB2312"/>
              </w:rPr>
              <w:t>一、评审内容:供应商针对本项目编制科学的项目管理机构，内容包含: ①管理机构配备计划; ②组织机构岗位职责； 二、评审标准: 1、完整性:方案必须全面，对评审内容中的各项要求有详细描述;2、可实施性:切合本项目实际情况，提出步清晰、合理的方案;3、针对性:方案能够紧扣项目实际情况，内容科学合理。 三、赋分标准(满分 4.5分) ①管理机构的配备计划:每完全满足一个评审标准得1分，满分3分;②组织机构的岗位职责:每完全满足一个评审标准得 0.5分，满分 1.5分;未提供者不得分。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项目拟派人员安排</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一、评审内容:结合本项目的实际，供应商应依据国家相关规定对工程质量编制保修方案，内容包含: ①维修措施;②保修责任;③保修承诺。 二、评审标准 :1、完整性:内容必须全面，对评审内容中的各项要求有详细描述;2、落实性:切合项目具体情况，提出责任明确、要求具体的方案;3、针对性:内容能够紧扣项目实际情况，内容科学合理。 三、赋分标准(满分 4.5 分):①维修措施:每完全满足一个评审标准得 0.5分，满分 1.5分;②保修责任:每完全满足一个评审标准得0.5分，满分1.5分;(③保修承诺:每完全满足一个评审标准得 0.5分，满分 1.5 分;④未提供者不得分。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一、评审内容:供应商针对本项目编制完善的施工进度计划，内容包含:①施工进度计划横道图; ②进度计划保证措施 ;③工期保证措施。 二、评审标准 :1、完整性:方案必须全面，对评审内容中的各项要求有详细描述;2、可实施性:切合本项目实际情况，提出步清晰、合理的方案;3、针对性:方案能够紧扣项目实际情况，内容科学合理。 三、赋分标准(满分9.0分):①施工进度计划横道图:每完全满足一个评审标准得1分，满分3分;②进度计划保证措施:每完全满足一个评审标准得1分,满分3分;③工期保证措施:每完全满足一个评审标准得1分，满分3分;④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施工进度计划</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一、评审内容:供应商针对本项目编制完善的质量保证措施，内容包含:①施工质量的检验制度;②确保质量的技术组织措施;③施工质量控制措施。 二、评审标准:1、完整性:方案必须全面，对评审内容中的各项要求有详细描述;2、可实施性:切合本项目实际情况，提出步清晰、合理的方案;3、针对性:方案能够紧扣项目实际情况，内容科学合理。 三、赋分标准(满分9分):①施工质量检验制度:每完全满足一个评审标准得1分，满分3分;②确保质量的技术组织措施:每完全满足一个评审标准得1分，满分3分;③施工质量控制措施:每完全满足一个评审标准得1分，满分3分;④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一、评审内容:供应商针对本项目编制完善的资源配置计划，内容包含:①劳动力资源配置计划;②施工机械设备投入计划;③主要施工材料供应计划。 二、评审标准:1、完整性:方案必须全面，对评审内容中的各项要求有详细描述;2、可实施性:切合本项目实际情况，提出步骤清晰、合理的方案;3、针对性:方案能够紧扣项目实际情况，内容科学合理。 三、赋分标准(满分 7.5 分):①劳动力资源配置计划:每完全满足一个评审标准得1分，满分3分;②施工机械设备投入计划:每完全满足一个评审标准得1分，满分3分;③主要施工材料供应计划:每完全满足一个评审标准得 0.5分，满分 1.5 分;④未提供者不得分。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资源配置计划</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一、评审内容:供应商针对本项目编制完整的安全施工措施，内容包含:①安全生产管理制度; ②安全施工措施;③安全应急预案;④安全生产教育。 二、评审标准:1、完整性:方案必须全面，对评审内容中的各项要求有详细描述;2、可实施性:切合本项目实际情况，提出步骤清晰、合理的方案;3、针对性:方案能够紧扣项目实际情况，内容科学合理。 三、赋分标准(满分7.5分):①安全生产管理制度:每完全满足一个评审标准得1分，满分3分; ②安全施工措施:每完全满足一个评审标准得0.5分，满分1.5分;③安全应急预案:每完全满足一个评审标准得0.5分，满分1.5分;④安全生产教育:每完全满足一个评审标准得 0.5分，满分 1.5分;⑤未提供者不得分。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安全施工措施</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一、评审内容:供应商针对本项目编制完整的文明施工措施，内容包含: ①文明施工管理目标及技术措施;②文明施工现场管理:材料管理、防扰民措施。 二、评审标准:1、完整性:方案必须全面，对评审内容中的各项要求有详细描述;2、可实施性:切合本项目实际情况,提出步骤清晰、合理的方案;3、针对性:方案能够紧扣项目实际情况，内容科学合理。 三、赋分标准(满分6分):①文明施工管理目标及技术措施:每完全满足一个评审标准得1分，满分3分;②文明施工现场管理:每完全满足一个评审标准得1分，满分3分:③未提供者不得分。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文明施工措施</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近 3 年（2022.10 - 至今）每提供 1 个有效类似项目业绩得 2 .5分，最高 5 分；“类似项目” 定义：①单项目合同金额≥本项目 80%；②包含路基开挖 + 路面浇筑核心工序;评审依据：①中标通知书（需含招标人或采购人单位公章、中标金额、中标时间）；②施工合同（含工程内容页、甲乙双方签章页、竣工验收页）；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w:t>
            </w:r>
          </w:p>
        </w:tc>
      </w:tr>
      <w:tr>
        <w:tc>
          <w:tcPr>
            <w:tcW w:type="dxa" w:w="831"/>
            <w:vMerge/>
          </w:tcPr>
          <w:p/>
        </w:tc>
        <w:tc>
          <w:tcPr>
            <w:tcW w:type="dxa" w:w="1661"/>
          </w:tcPr>
          <w:p>
            <w:pPr>
              <w:pStyle w:val="null3"/>
            </w:pPr>
            <w:r>
              <w:rPr>
                <w:rFonts w:ascii="仿宋_GB2312" w:hAnsi="仿宋_GB2312" w:cs="仿宋_GB2312" w:eastAsia="仿宋_GB2312"/>
              </w:rPr>
              <w:t>针对突发事件应急保证措施</w:t>
            </w:r>
          </w:p>
        </w:tc>
        <w:tc>
          <w:tcPr>
            <w:tcW w:type="dxa" w:w="2492"/>
          </w:tcPr>
          <w:p>
            <w:pPr>
              <w:pStyle w:val="null3"/>
            </w:pPr>
            <w:r>
              <w:rPr>
                <w:rFonts w:ascii="仿宋_GB2312" w:hAnsi="仿宋_GB2312" w:cs="仿宋_GB2312" w:eastAsia="仿宋_GB2312"/>
              </w:rPr>
              <w:t>一、评审内容 针对项目可能面临的恶劣天气、自然灾害、特殊情况，评审应急方案针对性、响应及时性。 二、评分标准 ①（1-3 分）：提及 “制定应急方案”，但未区分突发事件类型，仅笼统说明 “启动应急响应”，无具体处置流程、应急物资清单； ②（3.1-5 分）：按突发事件类型制定专项方案： ① 恶劣天气：暴雨时停止路基施工，启用临时排水泵 ② 自然灾害：洪涝时组织设备转移至地势高处，提前与当地应急部门建立联动机制； ③ 特殊情况：政府重大活动或节假日期间，暂停主线 / 支线临近公共区域的施工，安排人员值守维护现场秩序； 同时明确应急响应流程（X小时内启动预案X小时内到达现场）、应急物资清单及责任人联系方式。 缺项处理：未提供突发事件应急措施的，得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针对突发事件应急保证措施</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 ①工程重难点及解决措施； ②分部分项工程施工方法；③施工质量通病防治措施。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三、赋分标准（满分6分）： ①工程重难点及解决措施：每完全满足一个评审标准得1分，满分3分； ②分部分项工程施工方法：每完全满足一个评审标准得0.5分，满分1.5 分； ③施工质量通病防治措施：每完全满足一个评审标准得0.5分，满分1.5分；④未提供者不得分。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分部分项工程施工方案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经资格审查、符合性审查合格的磋商文件，其投标报价为有效投标报价。 1、上限为采购预算价，即报价大于上限价视为无效标； 2、以满足本次磋商文件要求的最低报价为评审基准价，其价格为满分； 3、不享有政策优惠条件的投标投标人报价得分=（评审基准价/报价）×30。 4.本项目为专门面向中小企业项目，专门面向中小企业采购的项目，不再执行价格评审优惠的扶持政策。 5.为保证项目质量，投标人报价若低于招标采购预算的 80%，须对报价合理性及成本构成做书面说明（如报价成本分析），如未能提供有效证明，将被视为低于成本报价而报价无效。（投标报价评审只评投标总价）。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详见附件：提供磋商保证金缴纳凭证</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详见附件：总体施工方案</w:t>
      </w:r>
    </w:p>
    <w:p>
      <w:pPr>
        <w:pStyle w:val="null3"/>
        <w:ind w:firstLine="960"/>
      </w:pPr>
      <w:r>
        <w:rPr>
          <w:rFonts w:ascii="仿宋_GB2312" w:hAnsi="仿宋_GB2312" w:cs="仿宋_GB2312" w:eastAsia="仿宋_GB2312"/>
        </w:rPr>
        <w:t>详见附件：项目拟派人员安排</w:t>
      </w:r>
    </w:p>
    <w:p>
      <w:pPr>
        <w:pStyle w:val="null3"/>
        <w:ind w:firstLine="960"/>
      </w:pPr>
      <w:r>
        <w:rPr>
          <w:rFonts w:ascii="仿宋_GB2312" w:hAnsi="仿宋_GB2312" w:cs="仿宋_GB2312" w:eastAsia="仿宋_GB2312"/>
        </w:rPr>
        <w:t>详见附件：保修方案.docx</w:t>
      </w:r>
    </w:p>
    <w:p>
      <w:pPr>
        <w:pStyle w:val="null3"/>
        <w:ind w:firstLine="960"/>
      </w:pPr>
      <w:r>
        <w:rPr>
          <w:rFonts w:ascii="仿宋_GB2312" w:hAnsi="仿宋_GB2312" w:cs="仿宋_GB2312" w:eastAsia="仿宋_GB2312"/>
        </w:rPr>
        <w:t>详见附件：施工进度计划</w:t>
      </w:r>
    </w:p>
    <w:p>
      <w:pPr>
        <w:pStyle w:val="null3"/>
        <w:ind w:firstLine="960"/>
      </w:pPr>
      <w:r>
        <w:rPr>
          <w:rFonts w:ascii="仿宋_GB2312" w:hAnsi="仿宋_GB2312" w:cs="仿宋_GB2312" w:eastAsia="仿宋_GB2312"/>
        </w:rPr>
        <w:t>详见附件：质量保证措施</w:t>
      </w:r>
    </w:p>
    <w:p>
      <w:pPr>
        <w:pStyle w:val="null3"/>
        <w:ind w:firstLine="960"/>
      </w:pPr>
      <w:r>
        <w:rPr>
          <w:rFonts w:ascii="仿宋_GB2312" w:hAnsi="仿宋_GB2312" w:cs="仿宋_GB2312" w:eastAsia="仿宋_GB2312"/>
        </w:rPr>
        <w:t>详见附件：资源配置计划</w:t>
      </w:r>
    </w:p>
    <w:p>
      <w:pPr>
        <w:pStyle w:val="null3"/>
        <w:ind w:firstLine="960"/>
      </w:pPr>
      <w:r>
        <w:rPr>
          <w:rFonts w:ascii="仿宋_GB2312" w:hAnsi="仿宋_GB2312" w:cs="仿宋_GB2312" w:eastAsia="仿宋_GB2312"/>
        </w:rPr>
        <w:t>详见附件：安全施工措施</w:t>
      </w:r>
    </w:p>
    <w:p>
      <w:pPr>
        <w:pStyle w:val="null3"/>
        <w:ind w:firstLine="960"/>
      </w:pPr>
      <w:r>
        <w:rPr>
          <w:rFonts w:ascii="仿宋_GB2312" w:hAnsi="仿宋_GB2312" w:cs="仿宋_GB2312" w:eastAsia="仿宋_GB2312"/>
        </w:rPr>
        <w:t>详见附件：文明施工措施</w:t>
      </w:r>
    </w:p>
    <w:p>
      <w:pPr>
        <w:pStyle w:val="null3"/>
        <w:ind w:firstLine="960"/>
      </w:pPr>
      <w:r>
        <w:rPr>
          <w:rFonts w:ascii="仿宋_GB2312" w:hAnsi="仿宋_GB2312" w:cs="仿宋_GB2312" w:eastAsia="仿宋_GB2312"/>
        </w:rPr>
        <w:t>详见附件：业绩情况表</w:t>
      </w:r>
    </w:p>
    <w:p>
      <w:pPr>
        <w:pStyle w:val="null3"/>
        <w:ind w:firstLine="960"/>
      </w:pPr>
      <w:r>
        <w:rPr>
          <w:rFonts w:ascii="仿宋_GB2312" w:hAnsi="仿宋_GB2312" w:cs="仿宋_GB2312" w:eastAsia="仿宋_GB2312"/>
        </w:rPr>
        <w:t>详见附件：分部分项工程施工方案</w:t>
      </w:r>
    </w:p>
    <w:p>
      <w:pPr>
        <w:pStyle w:val="null3"/>
        <w:ind w:firstLine="960"/>
      </w:pPr>
      <w:r>
        <w:rPr>
          <w:rFonts w:ascii="仿宋_GB2312" w:hAnsi="仿宋_GB2312" w:cs="仿宋_GB2312" w:eastAsia="仿宋_GB2312"/>
        </w:rPr>
        <w:t>详见附件：针对突发事件应急保证措施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