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版本号：ZGHJ-HZ-20251100120251029001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2025年度南郑区汉山街道办草堰村人居环境整治项目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ZGHJ-HZ-202511001</w:t>
      </w:r>
      <w:r>
        <w:br/>
      </w:r>
      <w:r>
        <w:br/>
      </w:r>
      <w:r>
        <w:br/>
      </w:r>
    </w:p>
    <w:p>
      <w:pPr>
        <w:pStyle w:val="null3"/>
        <w:jc w:val="center"/>
        <w:outlineLvl w:val="2"/>
      </w:pPr>
      <w:r>
        <w:rPr>
          <w:rFonts w:ascii="仿宋_GB2312" w:hAnsi="仿宋_GB2312" w:cs="仿宋_GB2312" w:eastAsia="仿宋_GB2312"/>
          <w:sz w:val="28"/>
          <w:b/>
        </w:rPr>
        <w:t>汉中市南郑区汉山街道办事处</w:t>
      </w:r>
    </w:p>
    <w:p>
      <w:pPr>
        <w:pStyle w:val="null3"/>
        <w:jc w:val="center"/>
        <w:outlineLvl w:val="2"/>
      </w:pPr>
      <w:r>
        <w:rPr>
          <w:rFonts w:ascii="仿宋_GB2312" w:hAnsi="仿宋_GB2312" w:cs="仿宋_GB2312" w:eastAsia="仿宋_GB2312"/>
          <w:sz w:val="28"/>
          <w:b/>
        </w:rPr>
        <w:t>中恭鸿建项目管理有限公司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中恭鸿建项目管理有限公司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汉中市南郑区汉山街道办事处</w:t>
      </w:r>
      <w:r>
        <w:rPr>
          <w:rFonts w:ascii="仿宋_GB2312" w:hAnsi="仿宋_GB2312" w:cs="仿宋_GB2312" w:eastAsia="仿宋_GB2312"/>
        </w:rPr>
        <w:t>委托，拟对</w:t>
      </w:r>
      <w:r>
        <w:rPr>
          <w:rFonts w:ascii="仿宋_GB2312" w:hAnsi="仿宋_GB2312" w:cs="仿宋_GB2312" w:eastAsia="仿宋_GB2312"/>
        </w:rPr>
        <w:t>2025年度南郑区汉山街道办草堰村人居环境整治项目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ZGHJ-HZ-202511001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2025年度南郑区汉山街道办草堰村人居环境整治项目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南郑区草堰村，主要施工内容为路肩修复2262平米、破损路面修复430平米，新建沟渠523米，修理沟渠68米，排水管埋设133米，外墙改造1220平米，拆除残垣断壁1166平米，路边垃圾清理12000平米，废料弃置，清理淤泥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采购包1（2025年度南郑区汉山街道办草堰村人居环境整治）：属于专门面向中小企业采购。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2、企业资质要求：供应商须具备建设行政主管部门核发的市政公用工程施工总承包三级及以上资质，具有有效的安全生产许可证；</w:t>
      </w:r>
    </w:p>
    <w:p>
      <w:pPr>
        <w:pStyle w:val="null3"/>
      </w:pPr>
      <w:r>
        <w:rPr>
          <w:rFonts w:ascii="仿宋_GB2312" w:hAnsi="仿宋_GB2312" w:cs="仿宋_GB2312" w:eastAsia="仿宋_GB2312"/>
        </w:rPr>
        <w:t>3、响应文件签署人身份证明：法定代表人参加投标须提供《法定代表人身份证明》及身份证扫描件；法定代表人授权他人参加投标，须提供《法定代表人授权委托书》、被授权人身份证扫描件；</w:t>
      </w:r>
    </w:p>
    <w:p>
      <w:pPr>
        <w:pStyle w:val="null3"/>
      </w:pPr>
      <w:r>
        <w:rPr>
          <w:rFonts w:ascii="仿宋_GB2312" w:hAnsi="仿宋_GB2312" w:cs="仿宋_GB2312" w:eastAsia="仿宋_GB2312"/>
        </w:rPr>
        <w:t>4、拟派项目负责人资质和专业要求：拟派项目负责人须具备市政公用工程专业二级及以上注册建造师资格，并具有行业主管部门核发的安全生产考核合格B证，且无在建项目；</w:t>
      </w:r>
    </w:p>
    <w:p>
      <w:pPr>
        <w:pStyle w:val="null3"/>
      </w:pPr>
      <w:r>
        <w:rPr>
          <w:rFonts w:ascii="仿宋_GB2312" w:hAnsi="仿宋_GB2312" w:cs="仿宋_GB2312" w:eastAsia="仿宋_GB2312"/>
        </w:rPr>
        <w:t>5、供应商资格承诺函：供应商须提供“汉中市政府采购供应商资格承诺函”；</w:t>
      </w:r>
    </w:p>
    <w:p>
      <w:pPr>
        <w:pStyle w:val="null3"/>
      </w:pPr>
      <w:r>
        <w:rPr>
          <w:rFonts w:ascii="仿宋_GB2312" w:hAnsi="仿宋_GB2312" w:cs="仿宋_GB2312" w:eastAsia="仿宋_GB2312"/>
        </w:rPr>
        <w:t>6、本项目不接受联合体：本项目不接受联合体投标，需提供非联合体书面声明；</w:t>
      </w:r>
    </w:p>
    <w:p>
      <w:pPr>
        <w:pStyle w:val="null3"/>
      </w:pPr>
      <w:r>
        <w:rPr>
          <w:rFonts w:ascii="仿宋_GB2312" w:hAnsi="仿宋_GB2312" w:cs="仿宋_GB2312" w:eastAsia="仿宋_GB2312"/>
        </w:rPr>
        <w:t>7、本项目专门面向中小企业采购：供应商须提供中小企业声明函。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汉中市南郑区汉山街道办事处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汉山街道办南一环十字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汉中市南郑区汉山街道办事处经办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中恭鸿建项目管理有限公司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汉中市汉台区前进东路朱家营53号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0916-8817667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按国家计委颁发的《招标代理服务收费管理暂行办法》（计价格[2002]1980号）、国家发展改革委员会办公厅颁发的《关于招标代理服务收费有关问题的通知》（发改办价格[2003]857号）和《国家发展改革委关于降低部分建设项目收费标准规范收费行为等有关问题的通知》（发改价格[2011]534号）文件的有关规定收取。中标人承担招标代理服务费，中标单位在领取中标通知书前，须向采购代理机构一次性支付代理服务费。代理服务费的具体金额后续见本项目中标结果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汉中市南郑区汉山街道办事处</w:t>
      </w:r>
      <w:r>
        <w:rPr>
          <w:rFonts w:ascii="仿宋_GB2312" w:hAnsi="仿宋_GB2312" w:cs="仿宋_GB2312" w:eastAsia="仿宋_GB2312"/>
        </w:rPr>
        <w:t>和</w:t>
      </w:r>
      <w:r>
        <w:rPr>
          <w:rFonts w:ascii="仿宋_GB2312" w:hAnsi="仿宋_GB2312" w:cs="仿宋_GB2312" w:eastAsia="仿宋_GB2312"/>
        </w:rPr>
        <w:t>中恭鸿建项目管理有限公司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汉中市南郑区汉山街道办事处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中恭鸿建项目管理有限公司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汉中市南郑区汉山街道办事处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中恭鸿建项目管理有限公司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联系电话：0916-8817667</w:t>
      </w:r>
    </w:p>
    <w:p>
      <w:pPr>
        <w:pStyle w:val="null3"/>
      </w:pPr>
      <w:r>
        <w:rPr>
          <w:rFonts w:ascii="仿宋_GB2312" w:hAnsi="仿宋_GB2312" w:cs="仿宋_GB2312" w:eastAsia="仿宋_GB2312"/>
        </w:rPr>
        <w:t>地址：汉中市汉台区前进东路朱家营53号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1,195,844.34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2025年度南郑区汉山街道办草堰村人居环境整治</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标的名称：2025年度南郑区汉山街道办草堰村人居环境整治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left"/>
            </w:pPr>
            <w:r>
              <w:rPr>
                <w:rFonts w:ascii="仿宋_GB2312" w:hAnsi="仿宋_GB2312" w:cs="仿宋_GB2312" w:eastAsia="仿宋_GB2312"/>
                <w:sz w:val="24"/>
              </w:rPr>
              <w:t>路肩修复2262平米、破损路面修复430平米，新建沟渠523米，修理沟渠68米，排水管埋设133米，外墙改造1220平米，拆除残垣断壁1166平米，路边垃圾清理12000平米，废料弃置，清理淤泥等。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1份，电子版文件1份（以U盘为载体，电子版内容包括Word版本、签字盖章扫描后的PDF版本响应文件、工程量清单软件版本）。2、纸质响应文件均须A4纸打印，分别各自装订成册并编制目录和页码。线下递交响应文件地点：汉中市汉台区前进东路朱家营53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近3年内任意一年）经审计的财务报告（包含审计报告和审计报告中所涉及的财务报表和报表附注），②可提供XXXX或XXXX年度（近3年内任意一年）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书面声明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供应商须具备建设行政主管部门核发的市政公用工程施工总承包三级及以上资质，具有有效的安全生产许可证；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法定代表人参加投标须提供《法定代表人身份证明》及身份证扫描件；法定代表人授权他人参加投标，须提供《法定代表人授权委托书》、被授权人身份证扫描件；</w:t>
            </w:r>
          </w:p>
        </w:tc>
        <w:tc>
          <w:tcPr>
            <w:tcW w:type="dxa" w:w="1661"/>
          </w:tcPr>
          <w:p>
            <w:pPr>
              <w:pStyle w:val="null3"/>
            </w:pPr>
            <w:r>
              <w:rPr>
                <w:rFonts w:ascii="仿宋_GB2312" w:hAnsi="仿宋_GB2312" w:cs="仿宋_GB2312" w:eastAsia="仿宋_GB2312"/>
              </w:rPr>
              <w:t>法定代表人证明书与授权委托书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拟派项目负责人须具备市政公用工程专业二级及以上注册建造师资格，并具有行业主管部门核发的安全生产考核合格B证，且无在建项目；</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法定代表人证明书与授权委托书 技术方案 供应商应提交的相关资格证明材料 书面声明 汉中市政府采购供应商资格承诺函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已标价工程量清单 中小企业声明函 技术方案 供应商应提交的相关资格证明材料 响应文件封面 法定代表人证明书与授权委托书 项目管理机构组成表 残疾人福利性单位声明函 报价函 标的清单 供应商类似项目业绩一览表 响应函 书面声明 主要人员简历表 汉中市政府采购供应商资格承诺函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按磋商文件要求报价，不得提交选择性报价，且每轮报价不超过最高限价。</w:t>
            </w:r>
          </w:p>
        </w:tc>
        <w:tc>
          <w:tcPr>
            <w:tcW w:type="dxa" w:w="1661"/>
          </w:tcPr>
          <w:p>
            <w:pPr>
              <w:pStyle w:val="null3"/>
            </w:pPr>
            <w:r>
              <w:rPr>
                <w:rFonts w:ascii="仿宋_GB2312" w:hAnsi="仿宋_GB2312" w:cs="仿宋_GB2312" w:eastAsia="仿宋_GB2312"/>
              </w:rPr>
              <w:t>已标价工程量清单 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措施完善，可操性强计6-8分，措施合理、有可操性计4-5分，措施及可操性一般计1-3分。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拟派项目负责人及组织机构人员配备具体方案</w:t>
            </w:r>
          </w:p>
        </w:tc>
        <w:tc>
          <w:tcPr>
            <w:tcW w:type="dxa" w:w="2492"/>
          </w:tcPr>
          <w:p>
            <w:pPr>
              <w:pStyle w:val="null3"/>
            </w:pPr>
            <w:r>
              <w:rPr>
                <w:rFonts w:ascii="仿宋_GB2312" w:hAnsi="仿宋_GB2312" w:cs="仿宋_GB2312" w:eastAsia="仿宋_GB2312"/>
              </w:rPr>
              <w:t>方案完善分工合理、责任明确计8-10分，方案清晰，分工相对合理计4-7分，方案一般计1-3分。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进度计划合理、措施完善计7-10分，进度计划相对合理、措施清晰计4-6分，进度计划及措施基本合理计1-3分。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标准严格，程序规范；措施完善计7-10分，措施合理清晰计4-6分，措施一般计1-3分。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投入本项目施工的设备、机械、工具</w:t>
            </w:r>
          </w:p>
        </w:tc>
        <w:tc>
          <w:tcPr>
            <w:tcW w:type="dxa" w:w="2492"/>
          </w:tcPr>
          <w:p>
            <w:pPr>
              <w:pStyle w:val="null3"/>
            </w:pPr>
            <w:r>
              <w:rPr>
                <w:rFonts w:ascii="仿宋_GB2312" w:hAnsi="仿宋_GB2312" w:cs="仿宋_GB2312" w:eastAsia="仿宋_GB2312"/>
              </w:rPr>
              <w:t>设备齐全计4-5分，设备相对齐全计3分，设备基本齐全计1-2分。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安全防火、文明环保措施</w:t>
            </w:r>
          </w:p>
        </w:tc>
        <w:tc>
          <w:tcPr>
            <w:tcW w:type="dxa" w:w="2492"/>
          </w:tcPr>
          <w:p>
            <w:pPr>
              <w:pStyle w:val="null3"/>
            </w:pPr>
            <w:r>
              <w:rPr>
                <w:rFonts w:ascii="仿宋_GB2312" w:hAnsi="仿宋_GB2312" w:cs="仿宋_GB2312" w:eastAsia="仿宋_GB2312"/>
              </w:rPr>
              <w:t>措施完善计6-7分，措施合理清晰计4-5分，措施一般计1-3分。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针对本项目的临时性、阶段性工作及突发事件的应急处理方案</w:t>
            </w:r>
          </w:p>
        </w:tc>
        <w:tc>
          <w:tcPr>
            <w:tcW w:type="dxa" w:w="2492"/>
          </w:tcPr>
          <w:p>
            <w:pPr>
              <w:pStyle w:val="null3"/>
            </w:pPr>
            <w:r>
              <w:rPr>
                <w:rFonts w:ascii="仿宋_GB2312" w:hAnsi="仿宋_GB2312" w:cs="仿宋_GB2312" w:eastAsia="仿宋_GB2312"/>
              </w:rPr>
              <w:t>方案完善、实用性强计4-5分，方案合理、实用性较好计3分，方案及实用性一般计1-2分。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根据供应商提供的雨季施工管理及防范措施</w:t>
            </w:r>
          </w:p>
        </w:tc>
        <w:tc>
          <w:tcPr>
            <w:tcW w:type="dxa" w:w="2492"/>
          </w:tcPr>
          <w:p>
            <w:pPr>
              <w:pStyle w:val="null3"/>
            </w:pPr>
            <w:r>
              <w:rPr>
                <w:rFonts w:ascii="仿宋_GB2312" w:hAnsi="仿宋_GB2312" w:cs="仿宋_GB2312" w:eastAsia="仿宋_GB2312"/>
              </w:rPr>
              <w:t>措施完善计4-5分，措施合理清晰计3分，措施一般计1-2分。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（以签订日期自2022年至今的合同或中标通知书为准），每提供一份计2分，满分4分。（以标书内复印件加盖公章为准）。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施工单位的施工保修承诺</w:t>
            </w:r>
          </w:p>
        </w:tc>
        <w:tc>
          <w:tcPr>
            <w:tcW w:type="dxa" w:w="2492"/>
          </w:tcPr>
          <w:p>
            <w:pPr>
              <w:pStyle w:val="null3"/>
            </w:pPr>
            <w:r>
              <w:rPr>
                <w:rFonts w:ascii="仿宋_GB2312" w:hAnsi="仿宋_GB2312" w:cs="仿宋_GB2312" w:eastAsia="仿宋_GB2312"/>
              </w:rPr>
              <w:t>内容完善、明确计5-6分，内容较完善、合理计3-4分，内容一般计1-2分。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满足磋商文件要求且投标报价最低的投标报价为评标基准价，其价格分为满分。其他各投标人的价格分统一按下列公式计算：报价得分=（评标基准价/投标报价）×30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详见附件：法定代表人证明书与授权委托书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