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版本号：NBC-2025-ZFCS-G-15520251105002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2025年胡家营镇群星村生猪养殖项目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NBC-2025-ZFCS-G-155</w:t>
      </w:r>
      <w:r>
        <w:br/>
      </w:r>
      <w:r>
        <w:br/>
      </w:r>
      <w:r>
        <w:br/>
      </w:r>
    </w:p>
    <w:p>
      <w:pPr>
        <w:pStyle w:val="null3"/>
        <w:jc w:val="center"/>
        <w:outlineLvl w:val="2"/>
      </w:pPr>
      <w:r>
        <w:rPr>
          <w:rFonts w:ascii="仿宋_GB2312" w:hAnsi="仿宋_GB2312" w:cs="仿宋_GB2312" w:eastAsia="仿宋_GB2312"/>
          <w:sz w:val="28"/>
          <w:b/>
        </w:rPr>
        <w:t>汉中市南郑区胡家营镇人民政府</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汉中市南郑区胡家营镇人民政府</w:t>
      </w:r>
      <w:r>
        <w:rPr>
          <w:rFonts w:ascii="仿宋_GB2312" w:hAnsi="仿宋_GB2312" w:cs="仿宋_GB2312" w:eastAsia="仿宋_GB2312"/>
        </w:rPr>
        <w:t>委托，拟对</w:t>
      </w:r>
      <w:r>
        <w:rPr>
          <w:rFonts w:ascii="仿宋_GB2312" w:hAnsi="仿宋_GB2312" w:cs="仿宋_GB2312" w:eastAsia="仿宋_GB2312"/>
        </w:rPr>
        <w:t>2025年胡家营镇群星村生猪养殖项目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NBC-2025-ZFCS-G-155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2025年胡家营镇群星村生猪养殖项目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2025年胡家营镇群星村生猪养殖项目位于汉中市南郑区胡家营镇群星村，工程内容：新建钢结构育肥猪舍厂房2栋以及圈舍、环控、除臭等相关配套设备。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采购包1（2025年胡家营镇群星村生猪养殖项目）：属于专门面向中小企业采购。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具有行政主管部门核发的建筑工程施工总承包三级（含三级）及以上资质，且具有有效的安全生产许可证；企业基本信息应在“陕西省住房和城乡建设厅”或“全国建筑市场监管公共服务平台（四库一平台）”可查询；：供应商具有行政主管部门核发的建筑工程施工总承包三级（含三级）及以上资质，且具有有效的安全生产许可证；企业基本信息应在“陕西省住房和城乡建设厅”或“全国建筑市场监管公共服务平台（四库一平台）”可查询；</w:t>
      </w:r>
    </w:p>
    <w:p>
      <w:pPr>
        <w:pStyle w:val="null3"/>
      </w:pPr>
      <w:r>
        <w:rPr>
          <w:rFonts w:ascii="仿宋_GB2312" w:hAnsi="仿宋_GB2312" w:cs="仿宋_GB2312" w:eastAsia="仿宋_GB2312"/>
        </w:rPr>
        <w:t>4、拟派项目经理须具备建筑工程专业注册建造师二级（含二级）以上执业资格，具有安全生产考核合格B证，在本单位注册且无在建工程；项目负责人的基本信息应在“陕西省住房和城乡建设厅”或“全国建筑市场监管公共服务平台（四库一平台）”可查询：拟派项目经理须具备建筑工程专业注册建造师二级（含二级）以上执业资格，具有安全生产考核合格B证，在本单位注册且无在建工程；项目负责人的基本信息应在“陕西省住房和城乡建设厅”或“全国建筑市场监管公共服务平台（四库一平台）”可查询</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汉中市南郑区胡家营镇人民政府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南郑区胡家营镇王河坎村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17609169529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陕西省西安市雁塔区西安曲江新区雁翔路旺座曲江K座1701室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15319339961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采购包1：2,591,542.98元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开户名称：纳百川项目管理咨询有限公司汉中分公司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 0539 0920 0086 526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汉中市南郑区胡家营镇人民政府</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汉中市南郑区胡家营镇人民政府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汉中市南郑区胡家营镇人民政府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符合行业相关建设标准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联系电话：15319339961</w:t>
      </w:r>
    </w:p>
    <w:p>
      <w:pPr>
        <w:pStyle w:val="null3"/>
      </w:pPr>
      <w:r>
        <w:rPr>
          <w:rFonts w:ascii="仿宋_GB2312" w:hAnsi="仿宋_GB2312" w:cs="仿宋_GB2312" w:eastAsia="仿宋_GB2312"/>
        </w:rPr>
        <w:t>地址：陕西省西安市雁塔区西安曲江新区雁翔路旺座曲江K座1701室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2,591,542.98</w:t>
      </w:r>
    </w:p>
    <w:p>
      <w:pPr>
        <w:pStyle w:val="null3"/>
      </w:pPr>
      <w:r>
        <w:rPr>
          <w:rFonts w:ascii="仿宋_GB2312" w:hAnsi="仿宋_GB2312" w:cs="仿宋_GB2312" w:eastAsia="仿宋_GB2312"/>
        </w:rPr>
        <w:t>采购包最高限价（元）: 2,591,542.98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生猪养殖项目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2,591,542.98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标的名称：生猪养殖项目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1.工期：45日历天</w:t>
            </w:r>
          </w:p>
          <w:p>
            <w:pPr>
              <w:pStyle w:val="null3"/>
            </w:pPr>
            <w:r>
              <w:rPr>
                <w:rFonts w:ascii="仿宋_GB2312" w:hAnsi="仿宋_GB2312" w:cs="仿宋_GB2312" w:eastAsia="仿宋_GB2312"/>
              </w:rPr>
              <w:t>2.质保期：1年</w:t>
            </w:r>
          </w:p>
          <w:p>
            <w:pPr>
              <w:pStyle w:val="null3"/>
            </w:pPr>
            <w:r>
              <w:rPr>
                <w:rFonts w:ascii="仿宋_GB2312" w:hAnsi="仿宋_GB2312" w:cs="仿宋_GB2312" w:eastAsia="仿宋_GB2312"/>
              </w:rPr>
              <w:t>3.屋面防水等级:二级</w:t>
            </w:r>
          </w:p>
          <w:p>
            <w:pPr>
              <w:pStyle w:val="null3"/>
            </w:pPr>
            <w:r>
              <w:rPr>
                <w:rFonts w:ascii="仿宋_GB2312" w:hAnsi="仿宋_GB2312" w:cs="仿宋_GB2312" w:eastAsia="仿宋_GB2312"/>
              </w:rPr>
              <w:t>4.抗震设防烈度:6度</w:t>
            </w:r>
          </w:p>
          <w:p>
            <w:pPr>
              <w:pStyle w:val="null3"/>
            </w:pPr>
            <w:r>
              <w:rPr>
                <w:rFonts w:ascii="仿宋_GB2312" w:hAnsi="仿宋_GB2312" w:cs="仿宋_GB2312" w:eastAsia="仿宋_GB2312"/>
              </w:rPr>
              <w:t>5.防雷级别:三类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符合行业相关技术标准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建筑工程施工总承包三级（含三级）及以上资质，且具有有效的安全生产许可证；企业基本信息应在“陕西省住房和城乡建设厅”或“全国建筑市场监管公共服务平台（四库一平台）”可查询；</w:t>
            </w:r>
          </w:p>
        </w:tc>
        <w:tc>
          <w:tcPr>
            <w:tcW w:type="dxa" w:w="3322"/>
          </w:tcPr>
          <w:p>
            <w:pPr>
              <w:pStyle w:val="null3"/>
            </w:pPr>
            <w:r>
              <w:rPr>
                <w:rFonts w:ascii="仿宋_GB2312" w:hAnsi="仿宋_GB2312" w:cs="仿宋_GB2312" w:eastAsia="仿宋_GB2312"/>
              </w:rPr>
              <w:t>供应商具有行政主管部门核发的建筑工程施工总承包三级（含三级）及以上资质，且具有有效的安全生产许可证；企业基本信息应在“陕西省住房和城乡建设厅”或“全国建筑市场监管公共服务平台（四库一平台）”可查询；</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建筑工程专业注册建造师二级（含二级）以上执业资格，具有安全生产考核合格B证，在本单位注册且无在建工程；项目负责人的基本信息应在“陕西省住房和城乡建设厅”或“全国建筑市场监管公共服务平台（四库一平台）”可查询</w:t>
            </w:r>
          </w:p>
        </w:tc>
        <w:tc>
          <w:tcPr>
            <w:tcW w:type="dxa" w:w="3322"/>
          </w:tcPr>
          <w:p>
            <w:pPr>
              <w:pStyle w:val="null3"/>
            </w:pPr>
            <w:r>
              <w:rPr>
                <w:rFonts w:ascii="仿宋_GB2312" w:hAnsi="仿宋_GB2312" w:cs="仿宋_GB2312" w:eastAsia="仿宋_GB2312"/>
              </w:rPr>
              <w:t>拟派项目经理须具备建筑工程专业注册建造师二级（含二级）以上执业资格，具有安全生产考核合格B证，在本单位注册且无在建工程；项目负责人的基本信息应在“陕西省住房和城乡建设厅”或“全国建筑市场监管公共服务平台（四库一平台）”可查询</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响应文件上法定代表人或其委托代理人的签字，并按要求加盖单位公章</w:t>
            </w:r>
          </w:p>
        </w:tc>
        <w:tc>
          <w:tcPr>
            <w:tcW w:type="dxa" w:w="1661"/>
          </w:tcPr>
          <w:p>
            <w:pPr>
              <w:pStyle w:val="null3"/>
            </w:pPr>
            <w:r>
              <w:rPr>
                <w:rFonts w:ascii="仿宋_GB2312" w:hAnsi="仿宋_GB2312" w:cs="仿宋_GB2312" w:eastAsia="仿宋_GB2312"/>
              </w:rPr>
              <w:t>响应文件封面 中小企业声明函 残疾人福利性单位声明函 报价函 供应商应提交的相关资格证明材料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提供磋商保证金缴纳凭证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供应商针对本项目编制完善的施工部署，内容包含：①施工目标:成本目标、工期目标、质量目标②施工平面布置与安排：现场围挡及出入口管理、交通组织安排、消防安排、施工平面布置图。 二、 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 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供应商编制完善的施工总进度计划，内容包含：①施工总进度：施工进度目标和施工总进度计划表，②施工进度保障措施。 二、评审标准 1、完整性：方案须全面，对评审内容中的各项要求有详细描述及说明；2、可实施性：切合本项目实际情况，实施步骤清晰、合理；3、针对性：方案能够紧扣项目实际情况，内容科学合理。 三、赋分标准 ①施工总进度：每完全满足一个评审标准得0.5分，满分1.5分； ②施工进度保障措施：每完全满足一个评审标准得0.5分，满分1.5分。"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1、完整性：方案须全面，对评审内容中的各项要求有详细描述及说明；2、可实施性：切合本项目实际情况，实施步骤清晰、合理；3、针对性：方案能够紧扣项目实际情况，内容科学合理。 三、赋分标准 ①安全管理制度：每完全满足一个评审标准得0.5分，满分1.5分； ②安全责任归属划分：每完全满足一个评审标准得0.5分，满1.5分； ③安全标识：每完全满足一个评审标准得0.5 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p>
            <w:pPr>
              <w:pStyle w:val="null3"/>
            </w:pPr>
            <w:r>
              <w:rPr>
                <w:rFonts w:ascii="仿宋_GB2312" w:hAnsi="仿宋_GB2312" w:cs="仿宋_GB2312" w:eastAsia="仿宋_GB2312"/>
              </w:rPr>
              <w:t>供应商认为需要说明的其他事宜</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2、可实施性：切合本项目实际情况，实施步骤清晰、合理；3、针对性：方案能够紧扣项目实际情况，内容科学合。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1、完整性：方案须全面，对评审内容中的各项要求有详细描述及说明；2、可实施性：切合本项目实际情况，实施步骤清晰、合理；3、针对性：方案能够紧扣项目实际情况，内容科学合理。 三、赋分标准 ①噪音控制措施：每完全满足一个评审标准0.5分，满分1.5分； ②防尘及扬尘的控制措施：每完全满足一个评审标准得0.5 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供应商针对本项目编制主要管理措施，内容包含：①分部分项工程施工方法②成品保护措施③季节性施工措施④工程重难点及解决措施⑤施工质量通病防治措施⑥为完成本项目所涉及的所有应急方案。 二、评审标准 1、完整性：方案须全面，对评审内容中的各项要求有详细描述及说明；2、可实施性：切合本项目实际情况，实施步骤清晰、合理；3、针对性：方案能够紧扣项目实际情况，内容科学合理。 三、赋分标准 ①分部分项工程施工方法：每完全满足一个评审标准得1.5分，满分4.5分； ②成品保护措施：每完全满足一个评审标准得0.5分，满分1.5分； ③季节性施工措施：每完全满足一个评审标准得0.5分，满1.5分； ④工程重难点及解决措施：每完全满足一个评审标准得1.5分，满分4.5分；⑤施工质量通病防治措施：每完全满足一个评审标准得0.5分，满分1.5分。 ⑥为完成本项目所涉及的所有应急方案：每完全满足一个评审标准得0.5分，满分1.5分。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 配置计划，内容包括①拟投入的主 要施工机械设备计划②主要材料进场计划③项目部人员组成，劳动力投入计划。 二、评审标准 1、完整性：方案须全面，对评审内容中的各项要求有详细描述及说明；2、可实施性：切合本项目实际情况，实施步骤清晰、合理；3、针对性：方案能够紧扣项目实际情况，内容科学合理。 三、赋分标准 ①拟投入的主要施工机械设备计划：每完全满足一个评审标准得1分，满分3 分； ②主要材料进场计划：每完全满足一个评审标准得1分，满分3分 ； ③项目部人员组成，劳动力投入计划：每完全满足一个评审标准得2分，满分6分。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w:t>
            </w:r>
          </w:p>
          <w:p>
            <w:pPr>
              <w:pStyle w:val="null3"/>
            </w:pPr>
            <w:r>
              <w:rPr>
                <w:rFonts w:ascii="仿宋_GB2312" w:hAnsi="仿宋_GB2312" w:cs="仿宋_GB2312" w:eastAsia="仿宋_GB2312"/>
              </w:rPr>
              <w:t>施工设备配置表</w:t>
            </w:r>
          </w:p>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材料质量保证方 案</w:t>
            </w:r>
          </w:p>
        </w:tc>
        <w:tc>
          <w:tcPr>
            <w:tcW w:type="dxa" w:w="2492"/>
          </w:tcPr>
          <w:p>
            <w:pPr>
              <w:pStyle w:val="null3"/>
            </w:pPr>
            <w:r>
              <w:rPr>
                <w:rFonts w:ascii="仿宋_GB2312" w:hAnsi="仿宋_GB2312" w:cs="仿宋_GB2312" w:eastAsia="仿宋_GB2312"/>
              </w:rPr>
              <w:t>一、评审内容 根据项目实际需求， 提供质量保证方案。内容包含：材料的性能、使用寿命及效果。 二、评审标准 1、完整性：方案须全面，对评审内容中的各项要求有详细描述； 2、可实施性：切合本项目实际情况，实施步骤清晰、合理； 3、针对性：方案能够紧扣项目实际情况，内容科学合理。 三、赋分依据 产品的性能、使用寿命及效果：每完全满足一个评审标准得1分，满分3分。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供应商认为需要说明的其他事宜</w:t>
            </w:r>
          </w:p>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供应商提供自2022年10月至今类似项目业绩，响应文件中应附有其业绩证明材料，业绩以协议书（合 同）或（中标）成交通知书加盖公章的复印件为依据，每提供一个得1分，满分4分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技术部分方案</w:t>
            </w:r>
          </w:p>
          <w:p>
            <w:pPr>
              <w:pStyle w:val="null3"/>
            </w:pPr>
            <w:r>
              <w:rPr>
                <w:rFonts w:ascii="仿宋_GB2312" w:hAnsi="仿宋_GB2312" w:cs="仿宋_GB2312" w:eastAsia="仿宋_GB2312"/>
              </w:rPr>
              <w:t>业绩情况表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详见附件：供应商认为需要说明的其他事宜</w:t>
      </w:r>
    </w:p>
    <w:p>
      <w:pPr>
        <w:pStyle w:val="null3"/>
        <w:ind w:firstLine="960"/>
      </w:pPr>
      <w:r>
        <w:rPr>
          <w:rFonts w:ascii="仿宋_GB2312" w:hAnsi="仿宋_GB2312" w:cs="仿宋_GB2312" w:eastAsia="仿宋_GB2312"/>
        </w:rPr>
        <w:t>详见附件：技术部分方案</w:t>
      </w:r>
    </w:p>
    <w:p>
      <w:pPr>
        <w:pStyle w:val="null3"/>
        <w:ind w:firstLine="960"/>
      </w:pPr>
      <w:r>
        <w:rPr>
          <w:rFonts w:ascii="仿宋_GB2312" w:hAnsi="仿宋_GB2312" w:cs="仿宋_GB2312" w:eastAsia="仿宋_GB2312"/>
        </w:rPr>
        <w:t>详见附件：拟派项目团队人员配置表</w:t>
      </w:r>
    </w:p>
    <w:p>
      <w:pPr>
        <w:pStyle w:val="null3"/>
        <w:ind w:firstLine="960"/>
      </w:pPr>
      <w:r>
        <w:rPr>
          <w:rFonts w:ascii="仿宋_GB2312" w:hAnsi="仿宋_GB2312" w:cs="仿宋_GB2312" w:eastAsia="仿宋_GB2312"/>
        </w:rPr>
        <w:t>详见附件：施工设备配置表</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详见附件：提供磋商保证金缴纳凭证</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