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版本号：ZGHJ-HZ-20251000120251010001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汉中市南郑区大河坎镇居贤路改造项目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ZGHJ-HZ-202510001</w:t>
      </w:r>
      <w:r>
        <w:br/>
      </w:r>
      <w:r>
        <w:br/>
      </w:r>
      <w:r>
        <w:br/>
      </w:r>
    </w:p>
    <w:p>
      <w:pPr>
        <w:pStyle w:val="null3"/>
        <w:jc w:val="center"/>
        <w:outlineLvl w:val="2"/>
      </w:pPr>
      <w:r>
        <w:rPr>
          <w:rFonts w:ascii="仿宋_GB2312" w:hAnsi="仿宋_GB2312" w:cs="仿宋_GB2312" w:eastAsia="仿宋_GB2312"/>
          <w:sz w:val="28"/>
          <w:b/>
        </w:rPr>
        <w:t>汉中市南郑区大河坎镇人民政府</w:t>
      </w:r>
    </w:p>
    <w:p>
      <w:pPr>
        <w:pStyle w:val="null3"/>
        <w:jc w:val="center"/>
        <w:outlineLvl w:val="2"/>
      </w:pPr>
      <w:r>
        <w:rPr>
          <w:rFonts w:ascii="仿宋_GB2312" w:hAnsi="仿宋_GB2312" w:cs="仿宋_GB2312" w:eastAsia="仿宋_GB2312"/>
          <w:sz w:val="28"/>
          <w:b/>
        </w:rPr>
        <w:t>中恭鸿建项目管理有限公司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中恭鸿建项目管理有限公司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汉中市南郑区大河坎镇人民政府</w:t>
      </w:r>
      <w:r>
        <w:rPr>
          <w:rFonts w:ascii="仿宋_GB2312" w:hAnsi="仿宋_GB2312" w:cs="仿宋_GB2312" w:eastAsia="仿宋_GB2312"/>
        </w:rPr>
        <w:t>委托，拟对</w:t>
      </w:r>
      <w:r>
        <w:rPr>
          <w:rFonts w:ascii="仿宋_GB2312" w:hAnsi="仿宋_GB2312" w:cs="仿宋_GB2312" w:eastAsia="仿宋_GB2312"/>
        </w:rPr>
        <w:t>汉中市南郑区大河坎镇居贤路改造项目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ZGHJ-HZ-202510001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汉中市南郑区大河坎镇居贤路改造项目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位于汉中市南郑区，项目建设内容包含道路工程、污水工程、给水工程、燃气工程、电力通信工程以及照明工程。线路全长0.289km，道路宽度5～6m，路面为沥青混凝土路面，边沟为混凝土边沟。污水主管道管道采用II级钢筋混凝土承插口管，管径为DN400mm。给水主管道采用聚乙烯PE100级管道，管径DN160mm。电缆保护管采用2根Φ160MPP管。通信管道采用2根Φ110聚乙烯双壁波纹管。路灯采用单臂LED太阳能路灯，功率为10OW，布置形式采用单侧布置，路灯安装高度为7m，标准段灯杆基本间距为25m左右。（具体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采购包1（汉中市南郑区大河坎镇居贤路改造项目）：属于专门面向中小企业采购。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1、拟派项目负责人资质和专业要求：拟派项目负责人须具备市政公用工程专业二级及以上注册建造师资格，并具有行业主管部门核发的安全生产考核合格B证，且无在建项目</w:t>
      </w:r>
    </w:p>
    <w:p>
      <w:pPr>
        <w:pStyle w:val="null3"/>
      </w:pPr>
      <w:r>
        <w:rPr>
          <w:rFonts w:ascii="仿宋_GB2312" w:hAnsi="仿宋_GB2312" w:cs="仿宋_GB2312" w:eastAsia="仿宋_GB2312"/>
        </w:rPr>
        <w:t>2、有效的主体资格证明：供应商为具有独立承担民事责任能力的法人或其他组织或自然人，并出具合法有效的营业执照或事业法人证书等国家规定的相关证明，自然人参与的提供其身份证明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3、企业资质要求：供应商须具备建设行政主管部门核发的市政公用工程施工总承包三级及以上资质，具有有效的安全生产许可证</w:t>
      </w:r>
    </w:p>
    <w:p>
      <w:pPr>
        <w:pStyle w:val="null3"/>
      </w:pPr>
      <w:r>
        <w:rPr>
          <w:rFonts w:ascii="仿宋_GB2312" w:hAnsi="仿宋_GB2312" w:cs="仿宋_GB2312" w:eastAsia="仿宋_GB2312"/>
        </w:rPr>
        <w:t>4、响应文件签署人身份证明：法定代表人参加投标须提供《法定代表人身份证明》及身份证扫描件；法定代表人授权他人参加投标，须提供《法定代表人授权委托书》、被授权人身份证扫描件</w:t>
      </w:r>
    </w:p>
    <w:p>
      <w:pPr>
        <w:pStyle w:val="null3"/>
      </w:pPr>
      <w:r>
        <w:rPr>
          <w:rFonts w:ascii="仿宋_GB2312" w:hAnsi="仿宋_GB2312" w:cs="仿宋_GB2312" w:eastAsia="仿宋_GB2312"/>
        </w:rPr>
        <w:t>5、供应商资格承诺函：供应商须提供“汉中市政府采购供应商资格承诺函”</w:t>
      </w:r>
    </w:p>
    <w:p>
      <w:pPr>
        <w:pStyle w:val="null3"/>
      </w:pPr>
      <w:r>
        <w:rPr>
          <w:rFonts w:ascii="仿宋_GB2312" w:hAnsi="仿宋_GB2312" w:cs="仿宋_GB2312" w:eastAsia="仿宋_GB2312"/>
        </w:rPr>
        <w:t>6、非联合体投标：本项目不接受联合体投标，需提供非联合体书面声明</w:t>
      </w:r>
    </w:p>
    <w:p>
      <w:pPr>
        <w:pStyle w:val="null3"/>
      </w:pPr>
      <w:r>
        <w:rPr>
          <w:rFonts w:ascii="仿宋_GB2312" w:hAnsi="仿宋_GB2312" w:cs="仿宋_GB2312" w:eastAsia="仿宋_GB2312"/>
        </w:rPr>
        <w:t>7、本项目专门面向中小企业采购：供应商须提供中小企业声明函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汉中市南郑区大河坎镇人民政府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南郑区大河坎镇利民东路与团结巷交叉口西100米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汉中市南郑区大河坎镇人民政府经办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5374413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中恭鸿建项目管理有限公司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汉中市汉台区前进东路朱家营53号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0916-8817667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采购包1：1,498,000.00元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按国家计委颁发的《招标代理服务收费管理暂行办法》（计价格[2002]1980号）、国家发展改革委员会办公厅颁发的《关于招标代理服务收费有关问题的通知》（发改办价格[2003]857号）和《国家发展改革委关于降低部分建设项目收费标准规范收费 行为等有关问题的通知》（发改价格[2011]534号）文件的有关规定收取。中标人承担招标代理服务费，中标单位在领取中标通知书前，须向采购代理机构一次性支付代理服务费。代理服务费的具体金额后续见本项目中标结果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汉中市南郑区大河坎镇人民政府</w:t>
      </w:r>
      <w:r>
        <w:rPr>
          <w:rFonts w:ascii="仿宋_GB2312" w:hAnsi="仿宋_GB2312" w:cs="仿宋_GB2312" w:eastAsia="仿宋_GB2312"/>
        </w:rPr>
        <w:t>和</w:t>
      </w:r>
      <w:r>
        <w:rPr>
          <w:rFonts w:ascii="仿宋_GB2312" w:hAnsi="仿宋_GB2312" w:cs="仿宋_GB2312" w:eastAsia="仿宋_GB2312"/>
        </w:rPr>
        <w:t>中恭鸿建项目管理有限公司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汉中市南郑区大河坎镇人民政府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中恭鸿建项目管理有限公司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汉中市南郑区大河坎镇人民政府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中恭鸿建项目管理有限公司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符合国家及行业相关规定要求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中恭鸿建项目管理有限公司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中恭鸿建项目管理有限公司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中恭鸿建项目管理有限公司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联系人：王女士</w:t>
      </w:r>
    </w:p>
    <w:p>
      <w:pPr>
        <w:pStyle w:val="null3"/>
      </w:pPr>
      <w:r>
        <w:rPr>
          <w:rFonts w:ascii="仿宋_GB2312" w:hAnsi="仿宋_GB2312" w:cs="仿宋_GB2312" w:eastAsia="仿宋_GB2312"/>
        </w:rPr>
        <w:t>联系电话：0916-8817667</w:t>
      </w:r>
    </w:p>
    <w:p>
      <w:pPr>
        <w:pStyle w:val="null3"/>
      </w:pPr>
      <w:r>
        <w:rPr>
          <w:rFonts w:ascii="仿宋_GB2312" w:hAnsi="仿宋_GB2312" w:cs="仿宋_GB2312" w:eastAsia="仿宋_GB2312"/>
        </w:rPr>
        <w:t>地址：汉中市汉台区前进东路朱家营53号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1,498,000.00</w:t>
      </w:r>
    </w:p>
    <w:p>
      <w:pPr>
        <w:pStyle w:val="null3"/>
      </w:pPr>
      <w:r>
        <w:rPr>
          <w:rFonts w:ascii="仿宋_GB2312" w:hAnsi="仿宋_GB2312" w:cs="仿宋_GB2312" w:eastAsia="仿宋_GB2312"/>
        </w:rPr>
        <w:t>采购包最高限价（元）: 1,498,000.00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汉中市南郑区大河坎镇居贤路改造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1,498,000.00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标的名称：汉中市南郑区大河坎镇居贤路改造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rPr>
              <w:t>项目位于汉中市南郑区，项目建设内容包含道路工程、污水工程、给水工程、燃气工程、电力通信工程以及照明工程。线路全长</w:t>
            </w:r>
            <w:r>
              <w:rPr>
                <w:rFonts w:ascii="仿宋_GB2312" w:hAnsi="仿宋_GB2312" w:cs="仿宋_GB2312" w:eastAsia="仿宋_GB2312"/>
                <w:sz w:val="28"/>
              </w:rPr>
              <w:t>0.289km，道路宽度5～6m，路面为沥青混凝土路面，边沟为混凝土边沟。污水主管道管道采用II级钢筋混凝土承插口管，管径为DN400mm。给水主管道采用聚乙烯PE100级管道，管径DN160mm。电缆保护管采用2根Φ160MPP管。通信管道采用2根Φ110聚乙烯双壁波纹管。路灯采用单臂LED太阳能路灯，功率为10OW，布置形式采用单侧布置，路灯安装高度为7m，标准段灯杆基本间距为25m左右。（具体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成交供应商在采购结果发布后3个工作日内向代理机构提交纸质版响应文件以便于存档，响应文件正本1份，副本1份，电子版文件1份（以U盘为载体，电子版内容包括Word版本、签字盖章扫描后的PDF版本响应文件、工程量清单软件版本）。2、纸质响应文件均须A4纸打印，分别各自装订成册并编制目录和页码。线下递交响应文件地点：汉中市汉台区前进东路朱家营53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3年内）经审计的财务报告（包含审计报告和审计报告中所涉及的财务报表和报表附注），②可提供XXXX或XXXX年度（3年内）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书面声明</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拟派项目负责人须具备市政公用工程专业二级及以上注册建造师资格，并具有行业主管部门核发的安全生产考核合格B证，且无在建项目</w:t>
            </w:r>
          </w:p>
        </w:tc>
        <w:tc>
          <w:tcPr>
            <w:tcW w:type="dxa" w:w="1661"/>
          </w:tcPr>
          <w:p>
            <w:pPr>
              <w:pStyle w:val="null3"/>
            </w:pPr>
            <w:r>
              <w:rPr>
                <w:rFonts w:ascii="仿宋_GB2312" w:hAnsi="仿宋_GB2312" w:cs="仿宋_GB2312" w:eastAsia="仿宋_GB2312"/>
              </w:rPr>
              <w:t>项目管理机构组成表 主要人员简历表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供应商须具备建设行政主管部门核发的市政公用工程施工总承包三级及以上资质，具有有效的安全生产许可证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响应文件签署人身份证明</w:t>
            </w:r>
          </w:p>
        </w:tc>
        <w:tc>
          <w:tcPr>
            <w:tcW w:type="dxa" w:w="3322"/>
          </w:tcPr>
          <w:p>
            <w:pPr>
              <w:pStyle w:val="null3"/>
            </w:pPr>
            <w:r>
              <w:rPr>
                <w:rFonts w:ascii="仿宋_GB2312" w:hAnsi="仿宋_GB2312" w:cs="仿宋_GB2312" w:eastAsia="仿宋_GB2312"/>
              </w:rPr>
              <w:t>法定代表人参加投标须提供《法定代表人身份证明》及身份证扫描件；法定代表人授权他人参加投标，须提供《法定代表人授权委托书》、被授权人身份证扫描件</w:t>
            </w:r>
          </w:p>
        </w:tc>
        <w:tc>
          <w:tcPr>
            <w:tcW w:type="dxa" w:w="1661"/>
          </w:tcPr>
          <w:p>
            <w:pPr>
              <w:pStyle w:val="null3"/>
            </w:pPr>
            <w:r>
              <w:rPr>
                <w:rFonts w:ascii="仿宋_GB2312" w:hAnsi="仿宋_GB2312" w:cs="仿宋_GB2312" w:eastAsia="仿宋_GB2312"/>
              </w:rPr>
              <w:t>法定代表人证明书与授权委托书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本项目不接受联合体投标，需提供非联合体书面声明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供应商须提供中小企业声明函</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符合文件要求，响应文件内容齐全、无遗漏</w:t>
            </w:r>
          </w:p>
        </w:tc>
        <w:tc>
          <w:tcPr>
            <w:tcW w:type="dxa" w:w="1661"/>
          </w:tcPr>
          <w:p>
            <w:pPr>
              <w:pStyle w:val="null3"/>
            </w:pPr>
            <w:r>
              <w:rPr>
                <w:rFonts w:ascii="仿宋_GB2312" w:hAnsi="仿宋_GB2312" w:cs="仿宋_GB2312" w:eastAsia="仿宋_GB2312"/>
              </w:rPr>
              <w:t>法定代表人证明书与授权委托书 技术方案 供应商应提交的相关资格证明材料 书面声明 汉中市政府采购供应商资格承诺函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均按文件要求签字、盖章</w:t>
            </w:r>
          </w:p>
        </w:tc>
        <w:tc>
          <w:tcPr>
            <w:tcW w:type="dxa" w:w="1661"/>
          </w:tcPr>
          <w:p>
            <w:pPr>
              <w:pStyle w:val="null3"/>
            </w:pPr>
            <w:r>
              <w:rPr>
                <w:rFonts w:ascii="仿宋_GB2312" w:hAnsi="仿宋_GB2312" w:cs="仿宋_GB2312" w:eastAsia="仿宋_GB2312"/>
              </w:rPr>
              <w:t>响应文件封面 法定代表人证明书与授权委托书 已标价工程量清单 项目管理机构组成表 中小企业声明函 报价函 供应商应提交的相关资格证明材料 标的清单 响应函 书面声明 主要人员简历表 汉中市政府采购供应商资格承诺函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按磋商文件要求报价，不得提交选择性报价，且每轮报价不超过最高限价。</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施工方案、方法与技术措施</w:t>
            </w:r>
          </w:p>
        </w:tc>
        <w:tc>
          <w:tcPr>
            <w:tcW w:type="dxa" w:w="2492"/>
          </w:tcPr>
          <w:p>
            <w:pPr>
              <w:pStyle w:val="null3"/>
            </w:pPr>
            <w:r>
              <w:rPr>
                <w:rFonts w:ascii="仿宋_GB2312" w:hAnsi="仿宋_GB2312" w:cs="仿宋_GB2312" w:eastAsia="仿宋_GB2312"/>
              </w:rPr>
              <w:t>措施完善，可操性强计6-8分，措施合理、有可操性计4-5分，措施及可操性一般计1-3分。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拟派项目负责人及组织机构人员配备具体方案</w:t>
            </w:r>
          </w:p>
        </w:tc>
        <w:tc>
          <w:tcPr>
            <w:tcW w:type="dxa" w:w="2492"/>
          </w:tcPr>
          <w:p>
            <w:pPr>
              <w:pStyle w:val="null3"/>
            </w:pPr>
            <w:r>
              <w:rPr>
                <w:rFonts w:ascii="仿宋_GB2312" w:hAnsi="仿宋_GB2312" w:cs="仿宋_GB2312" w:eastAsia="仿宋_GB2312"/>
              </w:rPr>
              <w:t>方案完善分工合理、责任明确计8-10分，方案清晰，分工相对合理计4-7分，方案一般计1-3分。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施工进度计划及工期保证措施</w:t>
            </w:r>
          </w:p>
        </w:tc>
        <w:tc>
          <w:tcPr>
            <w:tcW w:type="dxa" w:w="2492"/>
          </w:tcPr>
          <w:p>
            <w:pPr>
              <w:pStyle w:val="null3"/>
            </w:pPr>
            <w:r>
              <w:rPr>
                <w:rFonts w:ascii="仿宋_GB2312" w:hAnsi="仿宋_GB2312" w:cs="仿宋_GB2312" w:eastAsia="仿宋_GB2312"/>
              </w:rPr>
              <w:t>进度计划合理、措施完善计7-10分，进度计划相对合理、措施清晰计4-6分，进度计划及措施基本合理计1-3分。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标准严格，程序规范；措施完善计7-10分，措施合理清晰计4-6分，措施一般计1-3分。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投入本项目施工的设备、机械、工具</w:t>
            </w:r>
          </w:p>
        </w:tc>
        <w:tc>
          <w:tcPr>
            <w:tcW w:type="dxa" w:w="2492"/>
          </w:tcPr>
          <w:p>
            <w:pPr>
              <w:pStyle w:val="null3"/>
            </w:pPr>
            <w:r>
              <w:rPr>
                <w:rFonts w:ascii="仿宋_GB2312" w:hAnsi="仿宋_GB2312" w:cs="仿宋_GB2312" w:eastAsia="仿宋_GB2312"/>
              </w:rPr>
              <w:t>设备齐全计4-5分，设备相对齐全计3分，设备基本齐全计1-2分。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安全防火、文明环保措施</w:t>
            </w:r>
          </w:p>
        </w:tc>
        <w:tc>
          <w:tcPr>
            <w:tcW w:type="dxa" w:w="2492"/>
          </w:tcPr>
          <w:p>
            <w:pPr>
              <w:pStyle w:val="null3"/>
            </w:pPr>
            <w:r>
              <w:rPr>
                <w:rFonts w:ascii="仿宋_GB2312" w:hAnsi="仿宋_GB2312" w:cs="仿宋_GB2312" w:eastAsia="仿宋_GB2312"/>
              </w:rPr>
              <w:t>措施完善计6-7分，措施合理清晰计4-5分，措施一般计1-3分。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针对本项目的临时性 、阶段性工作及突发事件的应急处理方案</w:t>
            </w:r>
          </w:p>
        </w:tc>
        <w:tc>
          <w:tcPr>
            <w:tcW w:type="dxa" w:w="2492"/>
          </w:tcPr>
          <w:p>
            <w:pPr>
              <w:pStyle w:val="null3"/>
            </w:pPr>
            <w:r>
              <w:rPr>
                <w:rFonts w:ascii="仿宋_GB2312" w:hAnsi="仿宋_GB2312" w:cs="仿宋_GB2312" w:eastAsia="仿宋_GB2312"/>
              </w:rPr>
              <w:t>方案完善、实用性强计4-5分，方案合理、实用性较好计3分，方案及实用性一般计1-2分。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根据供应商提供的雨季施工管理及防范措施</w:t>
            </w:r>
          </w:p>
        </w:tc>
        <w:tc>
          <w:tcPr>
            <w:tcW w:type="dxa" w:w="2492"/>
          </w:tcPr>
          <w:p>
            <w:pPr>
              <w:pStyle w:val="null3"/>
            </w:pPr>
            <w:r>
              <w:rPr>
                <w:rFonts w:ascii="仿宋_GB2312" w:hAnsi="仿宋_GB2312" w:cs="仿宋_GB2312" w:eastAsia="仿宋_GB2312"/>
              </w:rPr>
              <w:t>措施完善计4-5分，措施合理清晰计3分，措施一般计1-2分。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（以签订日期自2022年至今的合同或中标通知书为准），每提供一份计2分，满分4分。（以标书内复印件加盖公章为准）。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施工单位的施工保修承诺</w:t>
            </w:r>
          </w:p>
        </w:tc>
        <w:tc>
          <w:tcPr>
            <w:tcW w:type="dxa" w:w="2492"/>
          </w:tcPr>
          <w:p>
            <w:pPr>
              <w:pStyle w:val="null3"/>
            </w:pPr>
            <w:r>
              <w:rPr>
                <w:rFonts w:ascii="仿宋_GB2312" w:hAnsi="仿宋_GB2312" w:cs="仿宋_GB2312" w:eastAsia="仿宋_GB2312"/>
              </w:rPr>
              <w:t>内容完善、明确计5-6分，内容较完善、合理计3-4分，内容一般计1-2分。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满足磋商文件要求且投标报价最低的投标报价为评标基准价，其价格分为满分。其他各投标人的价格分 统一按下列公式计算：报价得分=（评标基准价/投标报价）×30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详见附件：汉中市政府采购供应商资格承诺函</w:t>
      </w:r>
    </w:p>
    <w:p>
      <w:pPr>
        <w:pStyle w:val="null3"/>
        <w:ind w:firstLine="960"/>
      </w:pPr>
      <w:r>
        <w:rPr>
          <w:rFonts w:ascii="仿宋_GB2312" w:hAnsi="仿宋_GB2312" w:cs="仿宋_GB2312" w:eastAsia="仿宋_GB2312"/>
        </w:rPr>
        <w:t>详见附件：法定代表人证明书与授权委托书</w:t>
      </w:r>
    </w:p>
    <w:p>
      <w:pPr>
        <w:pStyle w:val="null3"/>
        <w:ind w:firstLine="960"/>
      </w:pPr>
      <w:r>
        <w:rPr>
          <w:rFonts w:ascii="仿宋_GB2312" w:hAnsi="仿宋_GB2312" w:cs="仿宋_GB2312" w:eastAsia="仿宋_GB2312"/>
        </w:rPr>
        <w:t>详见附件：书面声明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