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版本号：YYWY-【2025】0802号20251110001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2025年南郑区汉山街道办事处齐力村裕美园区三期项目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YYWY-【2025】0802号</w:t>
      </w:r>
      <w:r>
        <w:br/>
      </w:r>
      <w:r>
        <w:br/>
      </w:r>
      <w:r>
        <w:br/>
      </w:r>
    </w:p>
    <w:p>
      <w:pPr>
        <w:pStyle w:val="null3"/>
        <w:jc w:val="center"/>
        <w:outlineLvl w:val="2"/>
      </w:pPr>
      <w:r>
        <w:rPr>
          <w:rFonts w:ascii="仿宋_GB2312" w:hAnsi="仿宋_GB2312" w:cs="仿宋_GB2312" w:eastAsia="仿宋_GB2312"/>
          <w:sz w:val="28"/>
          <w:b/>
        </w:rPr>
        <w:t>汉中市南郑区汉山街道办事处</w:t>
      </w:r>
    </w:p>
    <w:p>
      <w:pPr>
        <w:pStyle w:val="null3"/>
        <w:jc w:val="center"/>
        <w:outlineLvl w:val="2"/>
      </w:pPr>
      <w:r>
        <w:rPr>
          <w:rFonts w:ascii="仿宋_GB2312" w:hAnsi="仿宋_GB2312" w:cs="仿宋_GB2312" w:eastAsia="仿宋_GB2312"/>
          <w:sz w:val="28"/>
          <w:b/>
        </w:rPr>
        <w:t>汉中煜耀炜烨项目管理有限公司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汉中煜耀炜烨项目管理有限公司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汉中市南郑区汉山街道办事处</w:t>
      </w:r>
      <w:r>
        <w:rPr>
          <w:rFonts w:ascii="仿宋_GB2312" w:hAnsi="仿宋_GB2312" w:cs="仿宋_GB2312" w:eastAsia="仿宋_GB2312"/>
        </w:rPr>
        <w:t>委托，拟对</w:t>
      </w:r>
      <w:r>
        <w:rPr>
          <w:rFonts w:ascii="仿宋_GB2312" w:hAnsi="仿宋_GB2312" w:cs="仿宋_GB2312" w:eastAsia="仿宋_GB2312"/>
        </w:rPr>
        <w:t>2025年南郑区汉山街道办事处齐力村裕美园区三期项目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YYWY-【2025】0802号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2025年南郑区汉山街道办事处齐力村裕美园区三期项目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本项目建设地点位于南郑区汉山街道办事处齐力村，建设内容：新建一座建筑面积为1432.05㎡的冷库车间。包含：建筑、电气、给排水专业等内容。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采购包1（2025年南郑区汉山街道办事处齐力村裕美园区三期项目）：属于专门面向中小企业采购。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3、供应商资质要求：投标供应商须提供建设行政主管部门颁发的建筑工程施工总承包三级及以上资质，并提供有效的安全生产许可证。</w:t>
      </w:r>
    </w:p>
    <w:p>
      <w:pPr>
        <w:pStyle w:val="null3"/>
      </w:pPr>
      <w:r>
        <w:rPr>
          <w:rFonts w:ascii="仿宋_GB2312" w:hAnsi="仿宋_GB2312" w:cs="仿宋_GB2312" w:eastAsia="仿宋_GB2312"/>
        </w:rPr>
        <w:t>4、拟派项目负责人要求：具备建筑工程专业二级及以上注册建造师执业资格，并取得安全生产考核合格证书（建安B证），且无在建工程。</w:t>
      </w:r>
    </w:p>
    <w:p>
      <w:pPr>
        <w:pStyle w:val="null3"/>
      </w:pPr>
      <w:r>
        <w:rPr>
          <w:rFonts w:ascii="仿宋_GB2312" w:hAnsi="仿宋_GB2312" w:cs="仿宋_GB2312" w:eastAsia="仿宋_GB2312"/>
        </w:rPr>
        <w:t>5、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6、非联合体、不分包响应证明：本项目不接受联合体响应，不允许分包。供应商应提供《非联合体不分包投标声明》，视为独立响应，不分包。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汉山街道办南一环十字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18740453470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汉中煜耀炜烨项目管理有限公司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汉台区前进西路智诚茗居商业2#-201室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15991839528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开户名称：汉中煜耀炜烨项目管理有限公司</w:t>
            </w:r>
          </w:p>
          <w:p>
            <w:pPr>
              <w:pStyle w:val="null3"/>
            </w:pPr>
            <w:r>
              <w:rPr>
                <w:rFonts w:ascii="仿宋_GB2312" w:hAnsi="仿宋_GB2312" w:cs="仿宋_GB2312" w:eastAsia="仿宋_GB2312"/>
              </w:rPr>
              <w:t>开户银行：长安银行股份有限公司汉中太白路支行</w:t>
            </w:r>
          </w:p>
          <w:p>
            <w:pPr>
              <w:pStyle w:val="null3"/>
            </w:pPr>
            <w:r>
              <w:rPr>
                <w:rFonts w:ascii="仿宋_GB2312" w:hAnsi="仿宋_GB2312" w:cs="仿宋_GB2312" w:eastAsia="仿宋_GB2312"/>
              </w:rPr>
              <w:t>银行账号：806060501421007499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号关于印发《招标代理服务收费管理暂行办法》及《国家发展和改革委员会办公厅关于招标代理服务收费有关问题的通知》（发改办价格〔2003〕857 号）文件规定，以成交价为基数，按照工程类招标计算收取代理服务费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汉中市南郑区汉山街道办事处</w:t>
      </w:r>
      <w:r>
        <w:rPr>
          <w:rFonts w:ascii="仿宋_GB2312" w:hAnsi="仿宋_GB2312" w:cs="仿宋_GB2312" w:eastAsia="仿宋_GB2312"/>
        </w:rPr>
        <w:t>和</w:t>
      </w:r>
      <w:r>
        <w:rPr>
          <w:rFonts w:ascii="仿宋_GB2312" w:hAnsi="仿宋_GB2312" w:cs="仿宋_GB2312" w:eastAsia="仿宋_GB2312"/>
        </w:rPr>
        <w:t>汉中煜耀炜烨项目管理有限公司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汉中市南郑区汉山街道办事处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汉中煜耀炜烨项目管理有限公司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汉中市南郑区汉山街道办事处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汉中煜耀炜烨项目管理有限公司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汉中煜耀炜烨项目管理有限公司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汉中煜耀炜烨项目管理有限公司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汉中煜耀炜烨项目管理有限公司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联系人：刘强</w:t>
      </w:r>
    </w:p>
    <w:p>
      <w:pPr>
        <w:pStyle w:val="null3"/>
      </w:pPr>
      <w:r>
        <w:rPr>
          <w:rFonts w:ascii="仿宋_GB2312" w:hAnsi="仿宋_GB2312" w:cs="仿宋_GB2312" w:eastAsia="仿宋_GB2312"/>
        </w:rPr>
        <w:t>联系电话：15991839528</w:t>
      </w:r>
    </w:p>
    <w:p>
      <w:pPr>
        <w:pStyle w:val="null3"/>
      </w:pPr>
      <w:r>
        <w:rPr>
          <w:rFonts w:ascii="仿宋_GB2312" w:hAnsi="仿宋_GB2312" w:cs="仿宋_GB2312" w:eastAsia="仿宋_GB2312"/>
        </w:rPr>
        <w:t>地址：汉台区前进西路智诚茗居商业2#-201室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1,920,000.00</w:t>
      </w:r>
    </w:p>
    <w:p>
      <w:pPr>
        <w:pStyle w:val="null3"/>
      </w:pPr>
      <w:r>
        <w:rPr>
          <w:rFonts w:ascii="仿宋_GB2312" w:hAnsi="仿宋_GB2312" w:cs="仿宋_GB2312" w:eastAsia="仿宋_GB2312"/>
        </w:rPr>
        <w:t>采购包最高限价（元）: 1,918,106.82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2025年南郑区汉山街道办事处齐力村裕美园区三期项目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标的名称：2025年南郑区汉山街道办事处齐力村裕美园区三期项目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本项目建设地点位于南郑区汉山街道办事处齐力村，建设内容：新建一座建筑面积为1432.05㎡的冷库车间。包含：建筑、电气、给排水专业等内容。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30"/>
              <w:jc w:val="left"/>
            </w:pPr>
            <w:r>
              <w:rPr>
                <w:rFonts w:ascii="仿宋_GB2312" w:hAnsi="仿宋_GB2312" w:cs="仿宋_GB2312" w:eastAsia="仿宋_GB2312"/>
              </w:rPr>
              <w:t>招标范围：施工图设计范围内、工程量清单内的全部内容。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工程量清单详见附件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工期要求：30日历天</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 本项目报价采用固定综合单价承包，以中标价（中标综合单价）作为合同价的结算依据进行结算，投标供应商自行考虑并承担风险。即现场施工费、现场安全措施费、保险费、服务费、售后服务、外购、外协、配套件、原材料及生产制造、包装、保险、税费、管理、检验、运杂费、装卸费、安装调试、培训、配合、检测验收、图纸资料及保修、施工中产生的一切协调性费用及其他所有费用的总和。工程量清单中存在漏项或某子目工程量计算偏差，竣工结算时按清单计算规则据实调整。投标综合单价一次包定。除国家工程计价政策允许调整外，其他因素发生变化不作调整。</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技术要求：工程质量、安全要求达到现行国家规范要求。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经双方协商，工程完工，通过建设单位、设计单位、监理单位、施工单位的四方验收及有关地方行政管理部门审验并取得相应验收合格凭证。</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承包人严格按照国家颁发的施工验收规范及工程设计图纸（工程量清单）要求进行施工。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满足采购需求及相关质量要求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投标供应商须提供建设行政主管部门颁发的建筑工程施工总承包三级及以上资质，并提供有效的安全生产许可证。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具备建筑工程专业二级及以上注册建造师执业资格，并取得安全生产考核合格证书（建安B证），且无在建工程。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非联合体、不分包响应证明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供应商应提交的相关资格证明材料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供应商应提交的相关资格证明材料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供应商应提交的相关资格证明材料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（3）第一次磋商报价未超出最高限价。</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供应商应提交的相关资格证明材料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供应商应提交的相关资格证明材料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一、评审内容：响应人提供本项目施工方案，包括①施工方法（工艺）②施工组织和施工程序③现场平面布置④技术组织措施。 二、赋分标准：1、完整性：方案内容完整全面，对上述各项内容均有描述，得2分；缺1项，得1.5分；缺2项，得1分；缺3项，得0.5分。2、针对性：针对性强，得3分；针对性一般，得1.5分；缺乏针对性，得0分。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一、评审内容：响应人提供本项目施工进度计划，包括①施工进度目标和施工总进度计划表/图②分部分项 工期一览表③重要工程的验收、检验的次序和时间。 二、赋分标准：1、完整性：方案内容完整全面，对上述各项内容均有描述，得1分；缺1项，得0.7分；缺2 项，得0.4分。2、针对性：针对性强，得1.5分；针对性一般，得0.7分；缺乏针对性，得0分。3、可实施性：可实施性强，得1.5分；可实施性一般，得0.7分；缺乏可实施性，得0分。 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一、评审内容：响应人提供本项目工期保证措施，包括①施工组织与管理保证措施②施工技术措施。 二、赋分标准：1、完整性：方案内容完整全面，对上述各项内容均有描述，得1分；缺1项，得0.5分。2、针对性：针对性强，得1分；针对性一般，得0.5分；缺乏针对性，得0分。3、可实施性：可实施性强，得1分；可实施性一般，得0.5分；缺乏可实施性，得0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一、评审内容：响应人提供本项目质量保证措施，包括①工程质量目标②施工质量保证措施③施工质量管 理与控制方案。 二、赋分标准：1、完整性：方案内容完整全面，对上述各项内容均有描述，得1分；缺1项，得0.7分；缺2 项，得0.4分。2、针对性：针对性强，得2分；针对性一般，得1分；缺乏针对性，得0分。3、可实施性：可实施性强，得2分；可实施性一般，得1分；缺乏可实施性，得0分。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一、评审内容：响应人提供本项目安全技术措施，包括①安全管理制度②安全责任归属划分③安全标识：安 全警戒标语、施工人员安全警示服和安全帽穿配要求④安全教育培训。 二、赋分标准：1、完整性：方案内容完整全面，对上述各项内容均有描述，得2分；缺1项，得1.5分；缺2项，得1分；缺3项，得0.5分。2、针对性：针对性强，得2分；针对性一般，得1分；缺乏针对性，得0分。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一、评审内容：响应人提供本项目文明施工措施，包括①成品保护措施和制度②施工现场的临时管理措施③文明施工保障措施④文物保护措施。 二、赋分标准 1、完整性：方案内容完整全面，对上述各项内容均有描述，得2分；缺1项，得1.5分；缺2项，得1分；缺3项，得0.5分。2、针对性：针对性强，得2分；针对性一般，得1分；缺乏针对性，得0分。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一、评审内容：响应人提供本项目环境保护措施，包括①环境保护管理体系②环保控制措施：污染物及废弃物的处理措施、噪音控制措施、防尘及扬尘的控制措施。 二、赋分标准：1、完整性：方案内容完整全面，对上述各项内容均有描述，得1分；缺1项，得0.5分。2、针对性：针对性强，得1分；针对性一般，得0.5分；缺乏针对性，得0分。3、可实施性：可实施性强，得1分；可实施性一般，得0.5分；缺乏可实施性，得0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一、评审内容：响应人提供本项目的资源配置计划，包括①拟投入的主要施工机械设备计划②主要材料进场计划③劳动力投入计划。 二、赋分标准：1、完整性：方案内容完整全面，对上述各项内容均有描述，得1分；缺1项，得0.7分；缺2项，得0.4分。2、针对性：针对性强，得2分；针对性一般，得1分；缺乏针对性，得0分。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施工重点难点</w:t>
            </w:r>
          </w:p>
        </w:tc>
        <w:tc>
          <w:tcPr>
            <w:tcW w:type="dxa" w:w="2492"/>
          </w:tcPr>
          <w:p>
            <w:pPr>
              <w:pStyle w:val="null3"/>
            </w:pPr>
            <w:r>
              <w:rPr>
                <w:rFonts w:ascii="仿宋_GB2312" w:hAnsi="仿宋_GB2312" w:cs="仿宋_GB2312" w:eastAsia="仿宋_GB2312"/>
              </w:rPr>
              <w:t>一、评审内容：响应人提供本项目的施工重难点，包括①施工重难点分析②重难点解决方案。 二、赋分标准：1、完整性：方案内容完整全面，对上述各项内容均有描述，得2分；缺1项，得1分。2、针对性：针对性强，得2分；针对性一般，得1分；缺乏针对性，得0分。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一、评审内容：响应人提供本项目新材料新工艺，包括①新技术和新工艺的应用情况②新产品和新材料的应用情况。 二、赋分标准：1、完整性：方案内容完整全面，对上述各项内容均有描述，得1分；缺1项，得0.5分。2、针对性：针对性强，得1分；针对性一般，得0.5分；缺乏针对性，得0分。3、可实施性：可实施性强，得1分；可实施性一般，得0.5分；缺乏可实施性，得0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项目部人员组织</w:t>
            </w:r>
          </w:p>
        </w:tc>
        <w:tc>
          <w:tcPr>
            <w:tcW w:type="dxa" w:w="2492"/>
          </w:tcPr>
          <w:p>
            <w:pPr>
              <w:pStyle w:val="null3"/>
            </w:pPr>
            <w:r>
              <w:rPr>
                <w:rFonts w:ascii="仿宋_GB2312" w:hAnsi="仿宋_GB2312" w:cs="仿宋_GB2312" w:eastAsia="仿宋_GB2312"/>
              </w:rPr>
              <w:t>针对本项目提供实施具体人员配置清单（技术负责人、施工员、质检员、安全员、材料员、造价员），包含：具体成员姓名、年龄、职称、岗位资格证书、开标前6个月的社保缴纳证明。提供以上清单中所有内容得6分，每人缺1项扣1分，不提供不得分。项目经理具备高级职称得3分，中级职称得2分，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技术标及方案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提供2022年1月1日以来类似项目业绩，每提供一个得3分，最高6分，没有不得分。 注：业绩以成交（中标）通知书、施工合同或竣工验收证明扫描件为准。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技术标及方案</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一、评审内容：响应人提供本项目的保修方案，包括①工程保修期②维护次数和维修费用③维修人员配备和服务措施④响应时间。 二、赋分标准：1、完整性：方案内容完整全面，对上述各项内容均有描述，得 2 分；缺 1 项，得 1.5 分；缺 2 项，得 1 分；缺 3 项，得 0.5 分。2、针对性：针对性强，得 2 分；针对性一般，得 1 分；缺乏针对性，得 0 分。3、可实施性：可实施性强，得2分；可实施性一般，得1分；缺乏可实施性，得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有效供应商最低报价为基准价得30分，其他各供应商的报价得分按下列公式计算： 报价得分=（基准价/磋商报价）×30。根据“最后报价”计算价格得分。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详见附件：技术标及方案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详见附件：（GF-2017-0201）建设工程施工合同（示范文本）.docx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