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版本号：SXSC-2025ZB-08620251121001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2025年度南郑区小南海镇秦家坝村红茶生产车间改扩建项目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SXSC-2025ZB-086</w:t>
      </w:r>
      <w:r>
        <w:br/>
      </w:r>
      <w:r>
        <w:br/>
      </w:r>
      <w:r>
        <w:br/>
      </w:r>
    </w:p>
    <w:p>
      <w:pPr>
        <w:pStyle w:val="null3"/>
        <w:jc w:val="center"/>
        <w:outlineLvl w:val="2"/>
      </w:pPr>
      <w:r>
        <w:rPr>
          <w:rFonts w:ascii="仿宋_GB2312" w:hAnsi="仿宋_GB2312" w:cs="仿宋_GB2312" w:eastAsia="仿宋_GB2312"/>
          <w:sz w:val="28"/>
          <w:b/>
        </w:rPr>
        <w:t>汉中市南郑区小南海镇人民政府</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汉中市南郑区小南海镇人民政府</w:t>
      </w:r>
      <w:r>
        <w:rPr>
          <w:rFonts w:ascii="仿宋_GB2312" w:hAnsi="仿宋_GB2312" w:cs="仿宋_GB2312" w:eastAsia="仿宋_GB2312"/>
        </w:rPr>
        <w:t>委托，拟对</w:t>
      </w:r>
      <w:r>
        <w:rPr>
          <w:rFonts w:ascii="仿宋_GB2312" w:hAnsi="仿宋_GB2312" w:cs="仿宋_GB2312" w:eastAsia="仿宋_GB2312"/>
        </w:rPr>
        <w:t>2025年度南郑区小南海镇秦家坝村红茶生产车间改扩建项目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SXSC-2025ZB-086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2025年度南郑区小南海镇秦家坝村红茶生产车间改扩建项目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建设内容：改扩建红茶生产车间367.84m2，门式钢架结构，层高3.9m。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采购包1（2025年度南郑区小南海镇秦家坝村红茶生产车间改扩建项目）：属于专门面向中小企业采购。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参与磋商的供应商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3、供应商资质要求：供应商须具备建筑工程施工总承包三级以上（含三级）资质，且持有有效的安全生产许可证;</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pPr>
      <w:r>
        <w:rPr>
          <w:rFonts w:ascii="仿宋_GB2312" w:hAnsi="仿宋_GB2312" w:cs="仿宋_GB2312" w:eastAsia="仿宋_GB2312"/>
        </w:rPr>
        <w:t>5、项目经理：拟派项目经理须具备建筑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原件；③提供项目经理“无在建工程”声明函原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汉中市南郑区小南海镇人民政府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小南海镇郑家坝村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0916-5455504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采购包1：911,654.00元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0127 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汉中市南郑区小南海镇人民政府</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汉中市南郑区小南海镇人民政府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汉中市南郑区小南海镇人民政府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联系人：沈工</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911,654.00</w:t>
      </w:r>
    </w:p>
    <w:p>
      <w:pPr>
        <w:pStyle w:val="null3"/>
      </w:pPr>
      <w:r>
        <w:rPr>
          <w:rFonts w:ascii="仿宋_GB2312" w:hAnsi="仿宋_GB2312" w:cs="仿宋_GB2312" w:eastAsia="仿宋_GB2312"/>
        </w:rPr>
        <w:t>采购包最高限价（元）: 911,653.07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2025年南郑区小南海镇秦家坝村红茶生产车间改扩建项目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911,654.00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标的名称：2025年南郑区小南海镇秦家坝村红茶生产车间改扩建项目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jc w:val="both"/>
            </w:pPr>
            <w:r>
              <w:rPr>
                <w:rFonts w:ascii="仿宋_GB2312" w:hAnsi="仿宋_GB2312" w:cs="仿宋_GB2312" w:eastAsia="仿宋_GB2312"/>
                <w:sz w:val="28"/>
                <w:b/>
              </w:rPr>
              <w:t>一、工程概况：</w:t>
            </w:r>
          </w:p>
          <w:p>
            <w:pPr>
              <w:pStyle w:val="null3"/>
              <w:ind w:firstLine="560"/>
              <w:jc w:val="left"/>
            </w:pPr>
            <w:r>
              <w:rPr>
                <w:rFonts w:ascii="仿宋_GB2312" w:hAnsi="仿宋_GB2312" w:cs="仿宋_GB2312" w:eastAsia="仿宋_GB2312"/>
                <w:sz w:val="28"/>
              </w:rPr>
              <w:t>本工</w:t>
            </w:r>
            <w:r>
              <w:rPr>
                <w:rFonts w:ascii="仿宋_GB2312" w:hAnsi="仿宋_GB2312" w:cs="仿宋_GB2312" w:eastAsia="仿宋_GB2312"/>
                <w:sz w:val="28"/>
              </w:rPr>
              <w:t>程位于汉中市南郑区小南海镇秦家坝村，由</w:t>
            </w:r>
            <w:r>
              <w:rPr>
                <w:rFonts w:ascii="仿宋_GB2312" w:hAnsi="仿宋_GB2312" w:cs="仿宋_GB2312" w:eastAsia="仿宋_GB2312"/>
                <w:sz w:val="28"/>
              </w:rPr>
              <w:t>陕西方得建筑工程设计有限公司设计，</w:t>
            </w:r>
            <w:r>
              <w:rPr>
                <w:rFonts w:ascii="仿宋_GB2312" w:hAnsi="仿宋_GB2312" w:cs="仿宋_GB2312" w:eastAsia="仿宋_GB2312"/>
                <w:sz w:val="28"/>
              </w:rPr>
              <w:t>建设内容：改扩建红茶生产车间</w:t>
            </w:r>
            <w:r>
              <w:rPr>
                <w:rFonts w:ascii="仿宋_GB2312" w:hAnsi="仿宋_GB2312" w:cs="仿宋_GB2312" w:eastAsia="仿宋_GB2312"/>
                <w:sz w:val="28"/>
              </w:rPr>
              <w:t>367.84m2，门式钢架结构，层高3.9m</w:t>
            </w:r>
            <w:r>
              <w:rPr>
                <w:rFonts w:ascii="仿宋_GB2312" w:hAnsi="仿宋_GB2312" w:cs="仿宋_GB2312" w:eastAsia="仿宋_GB2312"/>
                <w:sz w:val="28"/>
              </w:rPr>
              <w:t>。</w:t>
            </w:r>
          </w:p>
          <w:p>
            <w:pPr>
              <w:pStyle w:val="null3"/>
              <w:spacing w:before="150"/>
              <w:jc w:val="both"/>
            </w:pPr>
            <w:r>
              <w:rPr>
                <w:rFonts w:ascii="仿宋_GB2312" w:hAnsi="仿宋_GB2312" w:cs="仿宋_GB2312" w:eastAsia="仿宋_GB2312"/>
                <w:sz w:val="28"/>
              </w:rPr>
              <w:t>二、</w:t>
            </w:r>
            <w:r>
              <w:rPr>
                <w:rFonts w:ascii="仿宋_GB2312" w:hAnsi="仿宋_GB2312" w:cs="仿宋_GB2312" w:eastAsia="仿宋_GB2312"/>
                <w:sz w:val="28"/>
                <w:b/>
              </w:rPr>
              <w:t>编制依据：</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2025年度南郑区小南海镇秦家坝村红茶生产车间改扩建项目</w:t>
            </w:r>
            <w:r>
              <w:rPr>
                <w:rFonts w:ascii="仿宋_GB2312" w:hAnsi="仿宋_GB2312" w:cs="仿宋_GB2312" w:eastAsia="仿宋_GB2312"/>
                <w:sz w:val="28"/>
              </w:rPr>
              <w:t>”</w:t>
            </w:r>
            <w:r>
              <w:rPr>
                <w:rFonts w:ascii="仿宋_GB2312" w:hAnsi="仿宋_GB2312" w:cs="仿宋_GB2312" w:eastAsia="仿宋_GB2312"/>
                <w:sz w:val="28"/>
              </w:rPr>
              <w:t>施工图纸。</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《陕西省建设工程工程量清单计价</w:t>
            </w:r>
            <w:r>
              <w:rPr>
                <w:rFonts w:ascii="仿宋_GB2312" w:hAnsi="仿宋_GB2312" w:cs="仿宋_GB2312" w:eastAsia="仿宋_GB2312"/>
                <w:sz w:val="28"/>
              </w:rPr>
              <w:t>标准（</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房屋建筑与装饰工程工程量计算标准（</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通用安装工程工程量计算标准（</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园林绿化工程工程量计算标准（</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《陕西省建设工程</w:t>
            </w:r>
            <w:r>
              <w:rPr>
                <w:rFonts w:ascii="仿宋_GB2312" w:hAnsi="仿宋_GB2312" w:cs="仿宋_GB2312" w:eastAsia="仿宋_GB2312"/>
                <w:sz w:val="28"/>
              </w:rPr>
              <w:t>费用规则（</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陕西省通用安装工程消耗量定额（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陕西省园林绿化工程消耗量定额（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陕西省建设工程施工机械台班费用定额（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陕西省建设工程施工仪器仪表台班费用定额（</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陕西省通用安装工程基价表（</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陕西省园林绿化工程基价表（</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及配套的相关现行文件进行计价。</w:t>
            </w:r>
          </w:p>
          <w:p>
            <w:pPr>
              <w:pStyle w:val="null3"/>
              <w:ind w:firstLine="560"/>
              <w:jc w:val="both"/>
            </w:pPr>
            <w:r>
              <w:rPr>
                <w:rFonts w:ascii="仿宋_GB2312" w:hAnsi="仿宋_GB2312" w:cs="仿宋_GB2312" w:eastAsia="仿宋_GB2312"/>
                <w:sz w:val="28"/>
              </w:rPr>
              <w:t>3、材料价执行汉中建设工程造价信息2025年第9期材料信息价。</w:t>
            </w:r>
          </w:p>
          <w:p>
            <w:pPr>
              <w:pStyle w:val="null3"/>
              <w:ind w:firstLine="560"/>
              <w:jc w:val="both"/>
            </w:pPr>
            <w:r>
              <w:rPr>
                <w:rFonts w:ascii="仿宋_GB2312" w:hAnsi="仿宋_GB2312" w:cs="仿宋_GB2312" w:eastAsia="仿宋_GB2312"/>
                <w:sz w:val="28"/>
              </w:rPr>
              <w:t>4、本工程清单计价软件采用广联达计价软件GCCP7.0(7.5000.23.2)</w:t>
            </w:r>
          </w:p>
          <w:p>
            <w:pPr>
              <w:pStyle w:val="null3"/>
              <w:ind w:firstLine="560"/>
              <w:jc w:val="both"/>
            </w:pPr>
            <w:r>
              <w:rPr>
                <w:rFonts w:ascii="仿宋_GB2312" w:hAnsi="仿宋_GB2312" w:cs="仿宋_GB2312" w:eastAsia="仿宋_GB2312"/>
                <w:sz w:val="28"/>
              </w:rPr>
              <w:t>版本进行编制。</w:t>
            </w:r>
          </w:p>
          <w:p>
            <w:pPr>
              <w:pStyle w:val="null3"/>
              <w:ind w:firstLine="560"/>
              <w:jc w:val="both"/>
            </w:pPr>
            <w:r>
              <w:rPr>
                <w:rFonts w:ascii="仿宋_GB2312" w:hAnsi="仿宋_GB2312" w:cs="仿宋_GB2312" w:eastAsia="仿宋_GB2312"/>
                <w:sz w:val="28"/>
              </w:rPr>
              <w:t>5、本工程最高限价为南郑区财政局最终审定价。</w:t>
            </w:r>
          </w:p>
          <w:p>
            <w:pPr>
              <w:pStyle w:val="null3"/>
              <w:numPr>
                <w:ilvl w:val="0"/>
                <w:numId w:val="1"/>
              </w:numPr>
              <w:jc w:val="both"/>
            </w:pPr>
            <w:r>
              <w:rPr>
                <w:rFonts w:ascii="仿宋_GB2312" w:hAnsi="仿宋_GB2312" w:cs="仿宋_GB2312" w:eastAsia="仿宋_GB2312"/>
                <w:sz w:val="28"/>
                <w:b/>
              </w:rPr>
              <w:t>有关问题说明：</w:t>
            </w:r>
          </w:p>
          <w:p>
            <w:pPr>
              <w:pStyle w:val="null3"/>
              <w:numPr>
                <w:ilvl w:val="0"/>
                <w:numId w:val="2"/>
              </w:numPr>
              <w:jc w:val="both"/>
            </w:pPr>
            <w:r>
              <w:rPr>
                <w:rFonts w:ascii="仿宋_GB2312" w:hAnsi="仿宋_GB2312" w:cs="仿宋_GB2312" w:eastAsia="仿宋_GB2312"/>
                <w:sz w:val="28"/>
              </w:rPr>
              <w:t>垫层混凝土强度等级按</w:t>
            </w:r>
            <w:r>
              <w:rPr>
                <w:rFonts w:ascii="仿宋_GB2312" w:hAnsi="仿宋_GB2312" w:cs="仿宋_GB2312" w:eastAsia="仿宋_GB2312"/>
                <w:sz w:val="28"/>
              </w:rPr>
              <w:t>C15,基础、柱、板混凝土强度等级按C25。</w:t>
            </w:r>
          </w:p>
          <w:p>
            <w:pPr>
              <w:pStyle w:val="null3"/>
              <w:numPr>
                <w:ilvl w:val="0"/>
                <w:numId w:val="2"/>
              </w:numPr>
              <w:jc w:val="both"/>
            </w:pPr>
            <w:r>
              <w:rPr>
                <w:rFonts w:ascii="仿宋_GB2312" w:hAnsi="仿宋_GB2312" w:cs="仿宋_GB2312" w:eastAsia="仿宋_GB2312"/>
                <w:sz w:val="28"/>
              </w:rPr>
              <w:t>结构图</w:t>
            </w:r>
            <w:r>
              <w:rPr>
                <w:rFonts w:ascii="仿宋_GB2312" w:hAnsi="仿宋_GB2312" w:cs="仿宋_GB2312" w:eastAsia="仿宋_GB2312"/>
                <w:sz w:val="28"/>
              </w:rPr>
              <w:t>04</w:t>
            </w:r>
            <w:r>
              <w:rPr>
                <w:rFonts w:ascii="仿宋_GB2312" w:hAnsi="仿宋_GB2312" w:cs="仿宋_GB2312" w:eastAsia="仿宋_GB2312"/>
                <w:sz w:val="28"/>
              </w:rPr>
              <w:t>页（</w:t>
            </w:r>
            <w:r>
              <w:rPr>
                <w:rFonts w:ascii="仿宋_GB2312" w:hAnsi="仿宋_GB2312" w:cs="仿宋_GB2312" w:eastAsia="仿宋_GB2312"/>
                <w:sz w:val="28"/>
              </w:rPr>
              <w:t>5.200</w:t>
            </w:r>
            <w:r>
              <w:rPr>
                <w:rFonts w:ascii="仿宋_GB2312" w:hAnsi="仿宋_GB2312" w:cs="仿宋_GB2312" w:eastAsia="仿宋_GB2312"/>
                <w:sz w:val="28"/>
              </w:rPr>
              <w:t>）第一层节点平面布置图</w:t>
            </w:r>
            <w:r>
              <w:rPr>
                <w:rFonts w:ascii="仿宋_GB2312" w:hAnsi="仿宋_GB2312" w:cs="仿宋_GB2312" w:eastAsia="仿宋_GB2312"/>
                <w:sz w:val="28"/>
              </w:rPr>
              <w:t>1</w:t>
            </w:r>
            <w:r>
              <w:rPr>
                <w:rFonts w:ascii="仿宋_GB2312" w:hAnsi="仿宋_GB2312" w:cs="仿宋_GB2312" w:eastAsia="仿宋_GB2312"/>
                <w:sz w:val="28"/>
              </w:rPr>
              <w:t>轴交</w:t>
            </w:r>
            <w:r>
              <w:rPr>
                <w:rFonts w:ascii="仿宋_GB2312" w:hAnsi="仿宋_GB2312" w:cs="仿宋_GB2312" w:eastAsia="仿宋_GB2312"/>
                <w:sz w:val="28"/>
              </w:rPr>
              <w:t>A-C</w:t>
            </w:r>
            <w:r>
              <w:rPr>
                <w:rFonts w:ascii="仿宋_GB2312" w:hAnsi="仿宋_GB2312" w:cs="仿宋_GB2312" w:eastAsia="仿宋_GB2312"/>
                <w:sz w:val="28"/>
              </w:rPr>
              <w:t>轴主梁按</w:t>
            </w:r>
            <w:r>
              <w:rPr>
                <w:rFonts w:ascii="仿宋_GB2312" w:hAnsi="仿宋_GB2312" w:cs="仿宋_GB2312" w:eastAsia="仿宋_GB2312"/>
                <w:sz w:val="28"/>
              </w:rPr>
              <w:t>GL1</w:t>
            </w:r>
            <w:r>
              <w:rPr>
                <w:rFonts w:ascii="仿宋_GB2312" w:hAnsi="仿宋_GB2312" w:cs="仿宋_GB2312" w:eastAsia="仿宋_GB2312"/>
                <w:sz w:val="28"/>
              </w:rPr>
              <w:t>。</w:t>
            </w:r>
          </w:p>
          <w:p>
            <w:pPr>
              <w:pStyle w:val="null3"/>
              <w:numPr>
                <w:ilvl w:val="0"/>
                <w:numId w:val="2"/>
              </w:numPr>
              <w:jc w:val="both"/>
            </w:pPr>
            <w:r>
              <w:rPr>
                <w:rFonts w:ascii="仿宋_GB2312" w:hAnsi="仿宋_GB2312" w:cs="仿宋_GB2312" w:eastAsia="仿宋_GB2312"/>
                <w:sz w:val="28"/>
              </w:rPr>
              <w:t>室内</w:t>
            </w:r>
            <w:r>
              <w:rPr>
                <w:rFonts w:ascii="仿宋_GB2312" w:hAnsi="仿宋_GB2312" w:cs="仿宋_GB2312" w:eastAsia="仿宋_GB2312"/>
                <w:sz w:val="28"/>
              </w:rPr>
              <w:t>4-5轴一楼上二楼楼梯参照室外钢楼梯做法，工程量暂按1.816T。</w:t>
            </w:r>
          </w:p>
          <w:p>
            <w:pPr>
              <w:pStyle w:val="null3"/>
              <w:numPr>
                <w:ilvl w:val="0"/>
                <w:numId w:val="2"/>
              </w:numPr>
              <w:jc w:val="both"/>
            </w:pPr>
            <w:r>
              <w:rPr>
                <w:rFonts w:ascii="仿宋_GB2312" w:hAnsi="仿宋_GB2312" w:cs="仿宋_GB2312" w:eastAsia="仿宋_GB2312"/>
                <w:sz w:val="28"/>
              </w:rPr>
              <w:t>结构图</w:t>
            </w:r>
            <w:r>
              <w:rPr>
                <w:rFonts w:ascii="仿宋_GB2312" w:hAnsi="仿宋_GB2312" w:cs="仿宋_GB2312" w:eastAsia="仿宋_GB2312"/>
                <w:sz w:val="28"/>
              </w:rPr>
              <w:t>11</w:t>
            </w:r>
            <w:r>
              <w:rPr>
                <w:rFonts w:ascii="仿宋_GB2312" w:hAnsi="仿宋_GB2312" w:cs="仿宋_GB2312" w:eastAsia="仿宋_GB2312"/>
                <w:sz w:val="28"/>
              </w:rPr>
              <w:t>页为室外钢楼梯</w:t>
            </w:r>
            <w:r>
              <w:rPr>
                <w:rFonts w:ascii="仿宋_GB2312" w:hAnsi="仿宋_GB2312" w:cs="仿宋_GB2312" w:eastAsia="仿宋_GB2312"/>
                <w:sz w:val="28"/>
              </w:rPr>
              <w:t>200*200*3</w:t>
            </w:r>
            <w:r>
              <w:rPr>
                <w:rFonts w:ascii="仿宋_GB2312" w:hAnsi="仿宋_GB2312" w:cs="仿宋_GB2312" w:eastAsia="仿宋_GB2312"/>
                <w:sz w:val="28"/>
              </w:rPr>
              <w:t>方管立柱按</w:t>
            </w:r>
            <w:r>
              <w:rPr>
                <w:rFonts w:ascii="仿宋_GB2312" w:hAnsi="仿宋_GB2312" w:cs="仿宋_GB2312" w:eastAsia="仿宋_GB2312"/>
                <w:sz w:val="28"/>
              </w:rPr>
              <w:t>2</w:t>
            </w:r>
            <w:r>
              <w:rPr>
                <w:rFonts w:ascii="仿宋_GB2312" w:hAnsi="仿宋_GB2312" w:cs="仿宋_GB2312" w:eastAsia="仿宋_GB2312"/>
                <w:sz w:val="28"/>
              </w:rPr>
              <w:t>根。</w:t>
            </w:r>
          </w:p>
          <w:p>
            <w:pPr>
              <w:pStyle w:val="null3"/>
              <w:numPr>
                <w:ilvl w:val="0"/>
                <w:numId w:val="2"/>
              </w:numPr>
              <w:jc w:val="both"/>
            </w:pPr>
            <w:r>
              <w:rPr>
                <w:rFonts w:ascii="仿宋_GB2312" w:hAnsi="仿宋_GB2312" w:cs="仿宋_GB2312" w:eastAsia="仿宋_GB2312"/>
                <w:sz w:val="28"/>
              </w:rPr>
              <w:t>二层楼面做法按</w:t>
            </w:r>
            <w:r>
              <w:rPr>
                <w:rFonts w:ascii="仿宋_GB2312" w:hAnsi="仿宋_GB2312" w:cs="仿宋_GB2312" w:eastAsia="仿宋_GB2312"/>
                <w:sz w:val="28"/>
              </w:rPr>
              <w:t>2mm环氧树脂自流平，20mm1:2.5水泥砂浆找平层</w:t>
            </w:r>
          </w:p>
          <w:p>
            <w:pPr>
              <w:pStyle w:val="null3"/>
              <w:numPr>
                <w:ilvl w:val="0"/>
                <w:numId w:val="2"/>
              </w:numPr>
              <w:jc w:val="both"/>
            </w:pPr>
            <w:r>
              <w:rPr>
                <w:rFonts w:ascii="仿宋_GB2312" w:hAnsi="仿宋_GB2312" w:cs="仿宋_GB2312" w:eastAsia="仿宋_GB2312"/>
                <w:sz w:val="28"/>
              </w:rPr>
              <w:t>二层平面图</w:t>
            </w:r>
            <w:r>
              <w:rPr>
                <w:rFonts w:ascii="仿宋_GB2312" w:hAnsi="仿宋_GB2312" w:cs="仿宋_GB2312" w:eastAsia="仿宋_GB2312"/>
                <w:sz w:val="28"/>
              </w:rPr>
              <w:t>4-5轴楼梯间处内墙按100mm岩棉夹心彩钢板墙。</w:t>
            </w:r>
          </w:p>
          <w:p>
            <w:pPr>
              <w:pStyle w:val="null3"/>
              <w:numPr>
                <w:ilvl w:val="0"/>
                <w:numId w:val="2"/>
              </w:numPr>
              <w:jc w:val="both"/>
            </w:pPr>
            <w:r>
              <w:rPr>
                <w:rFonts w:ascii="仿宋_GB2312" w:hAnsi="仿宋_GB2312" w:cs="仿宋_GB2312" w:eastAsia="仿宋_GB2312"/>
                <w:sz w:val="28"/>
              </w:rPr>
              <w:t>室外钢楼梯临空侧安装不锈钢防护栏杆。</w:t>
            </w:r>
          </w:p>
          <w:p>
            <w:pPr>
              <w:pStyle w:val="null3"/>
              <w:numPr>
                <w:ilvl w:val="0"/>
                <w:numId w:val="2"/>
              </w:numPr>
              <w:jc w:val="both"/>
            </w:pPr>
            <w:r>
              <w:rPr>
                <w:rFonts w:ascii="仿宋_GB2312" w:hAnsi="仿宋_GB2312" w:cs="仿宋_GB2312" w:eastAsia="仿宋_GB2312"/>
                <w:sz w:val="28"/>
              </w:rPr>
              <w:t>M1522按钢质防盗门，C3018按塑钢中空玻璃窗。</w:t>
            </w:r>
          </w:p>
          <w:p>
            <w:pPr>
              <w:pStyle w:val="null3"/>
              <w:numPr>
                <w:ilvl w:val="0"/>
                <w:numId w:val="2"/>
              </w:numPr>
              <w:jc w:val="both"/>
            </w:pPr>
            <w:r>
              <w:rPr>
                <w:rFonts w:ascii="仿宋_GB2312" w:hAnsi="仿宋_GB2312" w:cs="仿宋_GB2312" w:eastAsia="仿宋_GB2312"/>
                <w:sz w:val="28"/>
              </w:rPr>
              <w:t>原厂房一楼更换修补</w:t>
            </w:r>
            <w:r>
              <w:rPr>
                <w:rFonts w:ascii="仿宋_GB2312" w:hAnsi="仿宋_GB2312" w:cs="仿宋_GB2312" w:eastAsia="仿宋_GB2312"/>
                <w:sz w:val="28"/>
              </w:rPr>
              <w:t>600*600破损地砖、基础开挖拆除恢复地砖,暂按100块地砖。</w:t>
            </w:r>
          </w:p>
          <w:p>
            <w:pPr>
              <w:pStyle w:val="null3"/>
              <w:numPr>
                <w:ilvl w:val="0"/>
                <w:numId w:val="2"/>
              </w:numPr>
              <w:jc w:val="both"/>
            </w:pPr>
            <w:r>
              <w:rPr>
                <w:rFonts w:ascii="仿宋_GB2312" w:hAnsi="仿宋_GB2312" w:cs="仿宋_GB2312" w:eastAsia="仿宋_GB2312"/>
                <w:sz w:val="28"/>
              </w:rPr>
              <w:t>拆除及二次利用钢构件安装暂按综合单价</w:t>
            </w:r>
            <w:r>
              <w:rPr>
                <w:rFonts w:ascii="仿宋_GB2312" w:hAnsi="仿宋_GB2312" w:cs="仿宋_GB2312" w:eastAsia="仿宋_GB2312"/>
                <w:sz w:val="28"/>
              </w:rPr>
              <w:t>50000元/项，内容包含：原屋面夹心彩钢板拆除，原屋面钢梁、钢檩条、拉条拆除，拆除后做除锈防腐处理，二次安装利用。</w:t>
            </w:r>
          </w:p>
          <w:p>
            <w:pPr>
              <w:pStyle w:val="null3"/>
              <w:numPr>
                <w:ilvl w:val="0"/>
                <w:numId w:val="2"/>
              </w:numPr>
              <w:jc w:val="both"/>
            </w:pPr>
            <w:r>
              <w:rPr>
                <w:rFonts w:ascii="仿宋_GB2312" w:hAnsi="仿宋_GB2312" w:cs="仿宋_GB2312" w:eastAsia="仿宋_GB2312"/>
                <w:sz w:val="28"/>
              </w:rPr>
              <w:t>改建部分及原厂房未改建部分统一更换</w:t>
            </w:r>
            <w:r>
              <w:rPr>
                <w:rFonts w:ascii="仿宋_GB2312" w:hAnsi="仿宋_GB2312" w:cs="仿宋_GB2312" w:eastAsia="仿宋_GB2312"/>
                <w:sz w:val="28"/>
              </w:rPr>
              <w:t>2mm镀锌钢板水槽，安装DN100PVC塑料排水管。</w:t>
            </w:r>
          </w:p>
          <w:p>
            <w:pPr>
              <w:pStyle w:val="null3"/>
              <w:numPr>
                <w:ilvl w:val="0"/>
                <w:numId w:val="2"/>
              </w:numPr>
              <w:jc w:val="both"/>
            </w:pPr>
            <w:r>
              <w:rPr>
                <w:rFonts w:ascii="仿宋_GB2312" w:hAnsi="仿宋_GB2312" w:cs="仿宋_GB2312" w:eastAsia="仿宋_GB2312"/>
                <w:sz w:val="28"/>
              </w:rPr>
              <w:t>预留设备电缆本次计入。</w:t>
            </w:r>
          </w:p>
          <w:p>
            <w:pPr>
              <w:pStyle w:val="null3"/>
              <w:numPr>
                <w:ilvl w:val="0"/>
                <w:numId w:val="2"/>
              </w:numPr>
              <w:jc w:val="both"/>
            </w:pPr>
            <w:r>
              <w:rPr>
                <w:rFonts w:ascii="仿宋_GB2312" w:hAnsi="仿宋_GB2312" w:cs="仿宋_GB2312" w:eastAsia="仿宋_GB2312"/>
                <w:sz w:val="28"/>
              </w:rPr>
              <w:t>钢构只做梁和柱的防火涂料，其他构件不做，耐火极限柱</w:t>
            </w:r>
            <w:r>
              <w:rPr>
                <w:rFonts w:ascii="仿宋_GB2312" w:hAnsi="仿宋_GB2312" w:cs="仿宋_GB2312" w:eastAsia="仿宋_GB2312"/>
                <w:sz w:val="28"/>
              </w:rPr>
              <w:t xml:space="preserve"> 2.5h，梁 1.5h;用薄型防火涂料，柱和梁都按 4mm 厚。</w:t>
            </w:r>
          </w:p>
          <w:p>
            <w:pPr>
              <w:pStyle w:val="null3"/>
              <w:numPr>
                <w:ilvl w:val="0"/>
                <w:numId w:val="2"/>
              </w:numPr>
              <w:jc w:val="both"/>
            </w:pPr>
            <w:r>
              <w:rPr>
                <w:rFonts w:ascii="仿宋_GB2312" w:hAnsi="仿宋_GB2312" w:cs="仿宋_GB2312" w:eastAsia="仿宋_GB2312"/>
                <w:sz w:val="28"/>
              </w:rPr>
              <w:t>其他项目费计入暂列金</w:t>
            </w:r>
            <w:r>
              <w:rPr>
                <w:rFonts w:ascii="仿宋_GB2312" w:hAnsi="仿宋_GB2312" w:cs="仿宋_GB2312" w:eastAsia="仿宋_GB2312"/>
                <w:sz w:val="28"/>
              </w:rPr>
              <w:t>6.0万元。</w:t>
            </w:r>
          </w:p>
          <w:p>
            <w:pPr>
              <w:pStyle w:val="null3"/>
              <w:ind w:firstLine="480"/>
              <w:jc w:val="both"/>
            </w:pPr>
            <w:r>
              <w:rPr>
                <w:rFonts w:ascii="仿宋_GB2312" w:hAnsi="仿宋_GB2312" w:cs="仿宋_GB2312" w:eastAsia="仿宋_GB2312"/>
              </w:rPr>
              <w:t>三、工程量清单（详见附件）</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（说明：工程量清单应当结合《政府采购需求管理办法》（财库〔</w:t>
            </w:r>
            <w:r>
              <w:rPr>
                <w:rFonts w:ascii="仿宋_GB2312" w:hAnsi="仿宋_GB2312" w:cs="仿宋_GB2312" w:eastAsia="仿宋_GB2312"/>
              </w:rPr>
              <w:t>2021〕22号）第六条第二款规定，明确相关性能、材料、结构、外观、安全、标准等。）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符合采购人需求，达到行业标准。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1、依据设计文件的要求，本采购项目的材料、设备、施工须达到所涉及到的现行中华人民共和国以及省、自治区、直辖市或行业的工程建设标准、规范的要求； 2、根据工程设计要求，该项工程项目的材料、设备、施工除须达到以上标准外，还应满足设计要求和采购人在竞争性磋商文件中的有关要求； 3、该工程项目的材料、设备、施工如无上述1、2条的标准，在材料、设备的定货采购和施工安装时，应出具生产厂家或施工安装企业在技术监督部门已备案企业标准，并经监理和采购人批准后方可实施。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本项目工期为60日历天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供应商需在项目电子化交易系统中按要求提供《汉中市政府采购供应商资格承诺函》完成承诺并进行电子签章</w:t>
            </w:r>
          </w:p>
        </w:tc>
        <w:tc>
          <w:tcPr>
            <w:tcW w:type="dxa" w:w="1661"/>
          </w:tcPr>
          <w:p>
            <w:pPr>
              <w:pStyle w:val="null3"/>
            </w:pPr>
            <w:r>
              <w:rPr>
                <w:rFonts w:ascii="仿宋_GB2312" w:hAnsi="仿宋_GB2312" w:cs="仿宋_GB2312" w:eastAsia="仿宋_GB2312"/>
              </w:rPr>
              <w:t>已标价工程量清单 中小企业声明函 技术方案 供应商应提交的相关资格证明材料 技术服务合同条款及其他商务要求应答表 强制优先采购产品承诺函 响应文件封面 项目管理机构组成表 供应商认为应当提交的其他资料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参与磋商的供应商代表身份证明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供应商须具备建筑工程施工总承包三级以上（含三级）资质，且持有有效的安全生产许可证;</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原件；③提供项目经理“无在建工程”声明函原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①确保工程质量的技术组织措施；</w:t>
            </w:r>
          </w:p>
        </w:tc>
        <w:tc>
          <w:tcPr>
            <w:tcW w:type="dxa" w:w="2492"/>
          </w:tcPr>
          <w:p>
            <w:pPr>
              <w:pStyle w:val="null3"/>
            </w:pPr>
            <w:r>
              <w:rPr>
                <w:rFonts w:ascii="仿宋_GB2312" w:hAnsi="仿宋_GB2312" w:cs="仿宋_GB2312" w:eastAsia="仿宋_GB2312"/>
              </w:rPr>
              <w:t>一、评审内容： 供应商针对本项目编制完善的工程质量技术组织措施，内容包含但不限于：①质量目标管理体系；②施工质量的检验制度；③确保质量的技术组织措施；④材料储存方案。 二、评审标准： 1、内容全面详细，且条理清晰、准确、措施合理具体； 2、内容能够紧扣项目实际情况，内容清晰、合理。 三、赋分标准（满分 8 分） ： ①内容完整且完全满足上述评审标准的，计8 分； ②内容完整，但条理不清晰、措施不具体、无紧扣项目实际情况实质性内容的，计 4-7.9 分； ③内容缺 2 项及以下的，计 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②确保文明施工的技术组织措施及环境保护措施；</w:t>
            </w:r>
          </w:p>
        </w:tc>
        <w:tc>
          <w:tcPr>
            <w:tcW w:type="dxa" w:w="2492"/>
          </w:tcPr>
          <w:p>
            <w:pPr>
              <w:pStyle w:val="null3"/>
            </w:pPr>
            <w:r>
              <w:rPr>
                <w:rFonts w:ascii="仿宋_GB2312" w:hAnsi="仿宋_GB2312" w:cs="仿宋_GB2312" w:eastAsia="仿宋_GB2312"/>
              </w:rPr>
              <w:t>一、评审内容： 供应商针对本项目编制完善的文明施工及环境保护措施，内容包含但不限于：①安全文明施工目标及施工现场的临时管理措施；②文明施工保障措施；③环境保护管理体系；④环保控制措施：污染物及废弃物处理的排放、噪音控制、防尘及扬尘的控制措施。 二、评审标准： 1、内容全面详细，且条理清晰、准确、措施合理具体； 2、内容能够紧扣项目实际情况，内容清晰、合理。 三、赋分标准（满分8 分） ： ①内容完整且完全满足上述评审标准的，计8 分； ②内容完整，但条理不清晰、措施不具体、无紧扣项目实际情况实质性内容的，计 4-7.9 分； ③内容缺 2 项及以下的，计 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③确保安全生产的技术组织措施；</w:t>
            </w:r>
          </w:p>
        </w:tc>
        <w:tc>
          <w:tcPr>
            <w:tcW w:type="dxa" w:w="2492"/>
          </w:tcPr>
          <w:p>
            <w:pPr>
              <w:pStyle w:val="null3"/>
            </w:pPr>
            <w:r>
              <w:rPr>
                <w:rFonts w:ascii="仿宋_GB2312" w:hAnsi="仿宋_GB2312" w:cs="仿宋_GB2312" w:eastAsia="仿宋_GB2312"/>
              </w:rPr>
              <w:t>一、评审内容 ： 供应商针对本项目编制完善的安全生产的技术组织措施，内容包含但不限于：①安全管理体系；②安全责任归属划分；③安全标识：安全警戒标语、施工人员安全警示服和安全帽穿配要求；④安全教育培训。 二、评审标准 ： 1、内容全面详细，且条理清晰、准确、措施合理具体； 2、内容能够紧扣项目实际情况，内容清晰、合理。 三、赋分标准（满分8分）： ①内容完整且完全满足上述评审标准的，计 8 分； ②内容完整，但条理不清晰、措施不具体、无紧扣项目实际情况实质性内容的，计 4-7.9 分； ③内容缺 2 项及以下的，计1-3.9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④确保工期的技术组织措施；</w:t>
            </w:r>
          </w:p>
        </w:tc>
        <w:tc>
          <w:tcPr>
            <w:tcW w:type="dxa" w:w="2492"/>
          </w:tcPr>
          <w:p>
            <w:pPr>
              <w:pStyle w:val="null3"/>
            </w:pPr>
            <w:r>
              <w:rPr>
                <w:rFonts w:ascii="仿宋_GB2312" w:hAnsi="仿宋_GB2312" w:cs="仿宋_GB2312" w:eastAsia="仿宋_GB2312"/>
              </w:rPr>
              <w:t>一、评审内容： 供应商针对本项目编制完善的工期的技术组织措施，内容包含但不限于：①施工组织与工期保证措施；②特殊情况保证：夜间、雨季、低温、人群密集区域施工等情况。 二、评审标准： 1、内容全面详细，且条理清晰、准确、措施合理具体； 2、内容能够紧扣项目实际情况，内容清晰、合理。 三、赋分标准（满分8 分） ： ①内容完整且完全满足上述评审标准的，得 8分； ②内容完整，但条理不清晰、措施不具体且无紧扣项目实际情况的实质性内容，计 4-7.9 分； ③内容缺 1 项的，计 1-3.9 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⑤项目施工方案；</w:t>
            </w:r>
          </w:p>
        </w:tc>
        <w:tc>
          <w:tcPr>
            <w:tcW w:type="dxa" w:w="2492"/>
          </w:tcPr>
          <w:p>
            <w:pPr>
              <w:pStyle w:val="null3"/>
            </w:pPr>
            <w:r>
              <w:rPr>
                <w:rFonts w:ascii="仿宋_GB2312" w:hAnsi="仿宋_GB2312" w:cs="仿宋_GB2312" w:eastAsia="仿宋_GB2312"/>
              </w:rPr>
              <w:t>一、评审内容 ： 供应商针对本项目编制完善的施工方案，内容包含但不限于：①具体施工内容；②施工次序；③施工方法（工艺）；④成品保护措施；⑤改造效果；⑥周边环境保护等。 二、评审标准： 1、内容全面详细，且条理清晰、准确、措施合理具体； 2、内容能够紧扣项目实际情况，内容清晰、合理。 三、赋分标准（满分 10 分）： ①内容完整且完全满足上述评审标准的，得 10 分； ②内容完整，但条理不清晰、措施不具体且无紧扣项目实际情况的实质性内容，计 5-9.9； ③内容缺 2 项及以下的，计 1-4.9 分； ④内容缺 3 项及以上的不计分。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⑥施工进度网络图或施工进度表；</w:t>
            </w:r>
          </w:p>
        </w:tc>
        <w:tc>
          <w:tcPr>
            <w:tcW w:type="dxa" w:w="2492"/>
          </w:tcPr>
          <w:p>
            <w:pPr>
              <w:pStyle w:val="null3"/>
            </w:pPr>
            <w:r>
              <w:rPr>
                <w:rFonts w:ascii="仿宋_GB2312" w:hAnsi="仿宋_GB2312" w:cs="仿宋_GB2312" w:eastAsia="仿宋_GB2312"/>
              </w:rPr>
              <w:t>一、评审内容： 供应商针对本项目编制完善的施工进度网络图或施工进度表，内容包含但不限于：①施工总进度：施工进度目标和施工总进度计划表/图；②施工进度保障措施。 二、评审标准： 1、内容全面详细，且条理清晰、准确、措施合理具体； 2、内容能够紧扣项目实际情况，内容清晰、合理。 三、赋分标准（满分 6 分）： ①内容完整且完全满足上述评审标准的，得 6 分； ②内容完整，但条理不清晰、计划不具体且无紧扣项目实际情况的实质性内容，计 3-5.9； ③内容缺 1 项的，计 1-2.9 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⑦项目经理部组织机构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供应商针对本项目编制完善的项目经理部组织机构，内容包含但不限于：①项目成员配置清单及架构：②项目组配备人员的专业素质、人员结构；③项目成员的主要职责及工作内容。 二、评审标准： 1、内容全面详细，且条理清晰、准确、措施合理具体； 2、内容能够紧扣项目实际情况，内容清晰、合理。 三、赋分标准（满分 6 分）： ①内容完整且完全满足上述评审标准的，得 6 分； ②内容完整，但条理不清晰、内容不具体且无紧扣项目实际情况的实质性内容，计 3-5.9； ③内容缺 2 项及以下的，计 1-2.9 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⑧商务响应</w:t>
            </w:r>
          </w:p>
        </w:tc>
        <w:tc>
          <w:tcPr>
            <w:tcW w:type="dxa" w:w="2492"/>
          </w:tcPr>
          <w:p>
            <w:pPr>
              <w:pStyle w:val="null3"/>
            </w:pPr>
            <w:r>
              <w:rPr>
                <w:rFonts w:ascii="仿宋_GB2312" w:hAnsi="仿宋_GB2312" w:cs="仿宋_GB2312" w:eastAsia="仿宋_GB2312"/>
              </w:rPr>
              <w:t>1、磋商响应文件对完成期限、安全目标、验收、保修承诺等商务要求进行响应说明，内容明确完整，可行性强得5分； 2、承诺基本完整，对上述内容都进行了承诺响应，可行性一般：得3分； 3、承诺内容模糊不清，可行性较弱：得1分； 4、未提供者不得分。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供应商提供近三年（2022年09月-至今）完成类似项目业绩（时间以签订的施工合同时间为准），每提供1个业绩得2分，此项最高得6分；（注：业绩评审需提供加盖公章的项目施工合同复印件）。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⑩后续服务</w:t>
            </w:r>
          </w:p>
        </w:tc>
        <w:tc>
          <w:tcPr>
            <w:tcW w:type="dxa" w:w="2492"/>
          </w:tcPr>
          <w:p>
            <w:pPr>
              <w:pStyle w:val="null3"/>
            </w:pPr>
            <w:r>
              <w:rPr>
                <w:rFonts w:ascii="仿宋_GB2312" w:hAnsi="仿宋_GB2312" w:cs="仿宋_GB2312" w:eastAsia="仿宋_GB2312"/>
              </w:rPr>
              <w:t>1、后续服务措施承诺具体、详细、可行：得5分； 2、后续服务措施承诺较具体、较详细、较可行得：3分； 3、后续服务措施承诺内容模糊不清，可行性较弱：得1分； 4、未提供者不得分。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详见附件：供应商认为应当提交的其他资料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