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版本号：HXTC-ZFCG-南郑区-2025111220251113002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南郑区黄官中学校园消防整改项目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HXTC-ZFCG-南郑区-20251112</w:t>
      </w:r>
      <w:r>
        <w:br/>
      </w:r>
      <w:r>
        <w:br/>
      </w:r>
      <w:r>
        <w:br/>
      </w:r>
    </w:p>
    <w:p>
      <w:pPr>
        <w:pStyle w:val="null3"/>
        <w:jc w:val="center"/>
        <w:outlineLvl w:val="2"/>
      </w:pPr>
      <w:r>
        <w:rPr>
          <w:rFonts w:ascii="仿宋_GB2312" w:hAnsi="仿宋_GB2312" w:cs="仿宋_GB2312" w:eastAsia="仿宋_GB2312"/>
          <w:sz w:val="28"/>
          <w:b/>
        </w:rPr>
        <w:t>汉中市南郑区黄官中学</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汉中市南郑区黄官中学</w:t>
      </w:r>
      <w:r>
        <w:rPr>
          <w:rFonts w:ascii="仿宋_GB2312" w:hAnsi="仿宋_GB2312" w:cs="仿宋_GB2312" w:eastAsia="仿宋_GB2312"/>
        </w:rPr>
        <w:t>委托，拟对</w:t>
      </w:r>
      <w:r>
        <w:rPr>
          <w:rFonts w:ascii="仿宋_GB2312" w:hAnsi="仿宋_GB2312" w:cs="仿宋_GB2312" w:eastAsia="仿宋_GB2312"/>
        </w:rPr>
        <w:t>南郑区黄官中学校园消防整改项目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HXTC-ZFCG-南郑区-20251112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南郑区黄官中学校园消防整改项目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汉中市南郑区黄官中学校园消防整改项目。主要内容包括：更换、更换及增加防火门、封堵窗，安装疏散门、重新安装水箱、屋面防水，增设应急照明疏散指示，增加连廊，拆除原屋顶后重新安装，室外增设消防水箱、消火栓等（具体工程内容详见本项目施工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采购包1（汉中市南郑区黄官中学校园消防整改项目）：属于专门面向中小企业采购。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具有独立承担民事责任能力的企业法人、事业法人、其他组织，提供营业执照复印件（事业单位须提供事业单位法人证、组织机构代码证等证明文件；其他组织应提供合法证明文件）：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p>
      <w:pPr>
        <w:pStyle w:val="null3"/>
      </w:pPr>
      <w:r>
        <w:rPr>
          <w:rFonts w:ascii="仿宋_GB2312" w:hAnsi="仿宋_GB2312" w:cs="仿宋_GB2312" w:eastAsia="仿宋_GB2312"/>
        </w:rPr>
        <w:t>2、具有履行合同所必须的设备和专业技术能力：供应商须具备建设行政主管部门核发的消防设施工程专业承包二级（含二级）及以上资质等级，且具有有效的安全生产许可证且在有效期内（注：①提供加盖公章的证照复印件；②供应商基本信息及项目负责人的基本信息应在“陕西省住房和城乡建设厅”或“全国建筑市场监管公共服务平台（四库一平台）”可查询，提供完整的网页截图，企业信息确认在有效期内且无不良行为记录，并加盖供应商公章）：具有履行合同所必须的设备和专业技术能力：供应商须具备建设行政主管部门核发的消防设施工程专业承包二级（含二级）及以上资质等级，且具有有效的安全生产许可证且在有效期内；</w:t>
      </w:r>
    </w:p>
    <w:p>
      <w:pPr>
        <w:pStyle w:val="null3"/>
      </w:pPr>
      <w:r>
        <w:rPr>
          <w:rFonts w:ascii="仿宋_GB2312" w:hAnsi="仿宋_GB2312" w:cs="仿宋_GB2312" w:eastAsia="仿宋_GB2312"/>
        </w:rPr>
        <w:t>3、拟派项目负责人须具备机电工程专业注册建造师二级（含二级）以上执业资格和安全生产考核合格B证，且无在建项目、无不良信用记录；（注：①提供项目经理证照复印件（职称证、注册证、安全生产考核合格B证、身份证及单位缴纳社保证明）确认在有效期内并加盖单位公章；②提供项目经理“无不良信用承诺函”原件；③提供项目经理“无在建工程”声明函原件）：拟派项目负责人须具备机电工程专业注册建造师二级（含二级）以上执业资格和安全生产考核合格B证，且无在建项目、无不良信用记录；</w:t>
      </w:r>
    </w:p>
    <w:p>
      <w:pPr>
        <w:pStyle w:val="null3"/>
      </w:pPr>
      <w:r>
        <w:rPr>
          <w:rFonts w:ascii="仿宋_GB2312" w:hAnsi="仿宋_GB2312" w:cs="仿宋_GB2312" w:eastAsia="仿宋_GB2312"/>
        </w:rPr>
        <w:t>4、供应商应授权合法的人员参加本次竞争性磋商活动：其中法定代表人直接参加的，须出具法人身份证，并与营业执照上信息一致；授权代表参加的，须出具法定代表人授权书及被授权人身份证：供应商应授权合法的人员参加本次竞争性磋商活动：其中法定代表人直接参加的，须出具法人身份证，并与营业执照上信息一致；授权代表参加的，须出具法定代表人授权书及被授权人身份证；</w:t>
      </w:r>
    </w:p>
    <w:p>
      <w:pPr>
        <w:pStyle w:val="null3"/>
      </w:pPr>
      <w:r>
        <w:rPr>
          <w:rFonts w:ascii="仿宋_GB2312" w:hAnsi="仿宋_GB2312" w:cs="仿宋_GB2312" w:eastAsia="仿宋_GB2312"/>
        </w:rPr>
        <w:t>5、本项目不接受联合体磋商，单位负责人为同一人或者存在控股、管理关系的不同单位不得同时参与本项目磋商响应：本项目不接受联合体磋商：单位负责人为同一人或者存在控股、管理关系的不同单位不得同时参与本项目磋商响应；</w:t>
      </w:r>
    </w:p>
    <w:p>
      <w:pPr>
        <w:pStyle w:val="null3"/>
      </w:pPr>
      <w:r>
        <w:rPr>
          <w:rFonts w:ascii="仿宋_GB2312" w:hAnsi="仿宋_GB2312" w:cs="仿宋_GB2312" w:eastAsia="仿宋_GB2312"/>
        </w:rPr>
        <w:t>6、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按照汉中市财政局《关于全面推行政府采购投标人基本资格条件承诺制的通知》（汉财办采管〔2024〕20号）文件要求，提供满足相应条件的资格承诺函】：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按照汉中市财政局《关于全面推行政府采购投标人基本资格条件承诺制的通知》（汉财办采管〔2024〕20号）文件要求，提供满足相应条件的资格承诺函】；</w:t>
      </w:r>
    </w:p>
    <w:p>
      <w:pPr>
        <w:pStyle w:val="null3"/>
      </w:pPr>
      <w:r>
        <w:rPr>
          <w:rFonts w:ascii="仿宋_GB2312" w:hAnsi="仿宋_GB2312" w:cs="仿宋_GB2312" w:eastAsia="仿宋_GB2312"/>
        </w:rPr>
        <w:t>7、磋商保证金转账凭证或磋商保函（提供加盖公章的复印件）：磋商保证金转账凭证或磋商保函。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汉中市南郑区黄官中学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陕西省汉中市南郑区黄官镇岭镇村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汉中市南郑区黄官中学经办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13509162998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陕西省汉中市汉台区将坛西路南侧35号颐馨园小区东单元十一楼1101室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0916-2524867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汉中市南郑区政府采购管理股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采购包1：609,426.89元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开户名称：华兴天成项目咨询有限公司汉中分公司</w:t>
            </w:r>
          </w:p>
          <w:p>
            <w:pPr>
              <w:pStyle w:val="null3"/>
            </w:pPr>
            <w:r>
              <w:rPr>
                <w:rFonts w:ascii="仿宋_GB2312" w:hAnsi="仿宋_GB2312" w:cs="仿宋_GB2312" w:eastAsia="仿宋_GB2312"/>
              </w:rPr>
              <w:t>开户银行：中国银行股份有限公司汉中天汉大道支行</w:t>
            </w:r>
          </w:p>
          <w:p>
            <w:pPr>
              <w:pStyle w:val="null3"/>
            </w:pPr>
            <w:r>
              <w:rPr>
                <w:rFonts w:ascii="仿宋_GB2312" w:hAnsi="仿宋_GB2312" w:cs="仿宋_GB2312" w:eastAsia="仿宋_GB2312"/>
              </w:rPr>
              <w:t>银行账号：1024 8277 3591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采购代理服务费的金额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857号）、《国家发展改革委关于降低部分建设项目收费标准规范收费行为等有关问题的通知》（发改价格[2011]534号）的有关规定执行或双方合同约定。</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汉中市南郑区黄官中学</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汉中市南郑区黄官中学</w:t>
      </w:r>
      <w:r>
        <w:rPr>
          <w:rFonts w:ascii="仿宋_GB2312" w:hAnsi="仿宋_GB2312" w:cs="仿宋_GB2312" w:eastAsia="仿宋_GB2312"/>
        </w:rPr>
        <w:t>负责解释。除上述磋商文件内容，其他内容由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汉中市南郑区黄官中学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甲乙双方合同内约定，符合国家及行业相关标准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联系人：鲁工</w:t>
      </w:r>
    </w:p>
    <w:p>
      <w:pPr>
        <w:pStyle w:val="null3"/>
      </w:pPr>
      <w:r>
        <w:rPr>
          <w:rFonts w:ascii="仿宋_GB2312" w:hAnsi="仿宋_GB2312" w:cs="仿宋_GB2312" w:eastAsia="仿宋_GB2312"/>
        </w:rPr>
        <w:t>联系电话：18691605987</w:t>
      </w:r>
    </w:p>
    <w:p>
      <w:pPr>
        <w:pStyle w:val="null3"/>
      </w:pPr>
      <w:r>
        <w:rPr>
          <w:rFonts w:ascii="仿宋_GB2312" w:hAnsi="仿宋_GB2312" w:cs="仿宋_GB2312" w:eastAsia="仿宋_GB2312"/>
        </w:rPr>
        <w:t>地址：陕西省汉中市汉台区将坛西路南侧35号颐馨园小区东单元十一楼1101室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609,426.89</w:t>
      </w:r>
    </w:p>
    <w:p>
      <w:pPr>
        <w:pStyle w:val="null3"/>
      </w:pPr>
      <w:r>
        <w:rPr>
          <w:rFonts w:ascii="仿宋_GB2312" w:hAnsi="仿宋_GB2312" w:cs="仿宋_GB2312" w:eastAsia="仿宋_GB2312"/>
        </w:rPr>
        <w:t>采购包最高限价（元）: 609,426.89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校园消防整改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609,426.89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标的名称：校园消防整改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工程技术参数（工程概况）：本工程为汉中市南郑区黄官中学校园消防整改项目。主要内容包括：更换、更换及增加防火门、封堵窗，安装疏散门、重新安装水箱、屋面防水，增设应急照明疏散指示，增加连廊，拆除原屋顶后重新安装，室外增设消防水箱、消火栓。</w:t>
            </w:r>
          </w:p>
          <w:p>
            <w:pPr>
              <w:pStyle w:val="null3"/>
            </w:pPr>
            <w:r>
              <w:rPr>
                <w:rFonts w:ascii="仿宋_GB2312" w:hAnsi="仿宋_GB2312" w:cs="仿宋_GB2312" w:eastAsia="仿宋_GB2312"/>
                <w:sz w:val="21"/>
              </w:rPr>
              <w:t>2、性能指标：（1）《陕西省建设工程工程量清单计价标准及计算标准（2025）》、《陕西省建设工程费用规则（2025）》、《陕西省通用安装工程消耗量定额（2025）》《陕西省市政工程消耗量定额（2025）》、《陕西省园林绿化工程消耗量定额（2025）》《陕西省建设工程施工机械台班、仪器仪表台班费用定额定额（2025）》、《陕西省房屋建筑与装饰工程、通用安装工程、市政工程、园林绿化工程基价表（2025）》。（2）汉中市南郑区黄官中学消防整改项目施工图纸。（3）营业税改征增值税执行陕建发〔2019〕45号文；（4）安全文明施工费调整执行陕建发〔2019〕1246号文；（5）主要材料价格依据《汉中建设工程造价信息》2025年第8期南郑区域材料价及市场价综合计取；（6）工程质量：合格；（8）安全目标：无安全责任事故发生。</w:t>
            </w:r>
          </w:p>
          <w:p>
            <w:pPr>
              <w:pStyle w:val="null3"/>
            </w:pPr>
            <w:r>
              <w:rPr>
                <w:rFonts w:ascii="仿宋_GB2312" w:hAnsi="仿宋_GB2312" w:cs="仿宋_GB2312" w:eastAsia="仿宋_GB2312"/>
                <w:sz w:val="21"/>
              </w:rPr>
              <w:t>3、本项目设最高限价：¥：609,426.89元（大写：陆拾万零玖仟肆佰贰拾陆元捌角玖分），供应商的磋商响应报价超过最高限价的，视为未响应竞争性磋商文件要求，其磋商响应文件按无效响应处理。</w:t>
            </w:r>
          </w:p>
          <w:p>
            <w:pPr>
              <w:pStyle w:val="null3"/>
            </w:pPr>
            <w:r>
              <w:rPr>
                <w:rFonts w:ascii="仿宋_GB2312" w:hAnsi="仿宋_GB2312" w:cs="仿宋_GB2312" w:eastAsia="仿宋_GB2312"/>
                <w:sz w:val="21"/>
              </w:rPr>
              <w:t>4、本项目工期（合同履行期限）：合同签订后45日历天（具体服务起止日期可随合同签订时间相应顺延）。</w:t>
            </w:r>
          </w:p>
          <w:p>
            <w:pPr>
              <w:pStyle w:val="null3"/>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必须达到国家及行业现行技术规范标准，符合国家及行业相关标准规定。</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1、本项目工期(合同履行期限):合同签订后45日历天(具体服务起止日期可随合同签订时间相应顺延)；2、其他技术服务要求甲乙双方合同内约定，技术服务要求符合国家、地方及行业相关标准规定。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tc>
        <w:tc>
          <w:tcPr>
            <w:tcW w:type="dxa" w:w="3322"/>
          </w:tcPr>
          <w:p>
            <w:pPr>
              <w:pStyle w:val="null3"/>
            </w:pPr>
            <w:r>
              <w:rPr>
                <w:rFonts w:ascii="仿宋_GB2312" w:hAnsi="仿宋_GB2312" w:cs="仿宋_GB2312" w:eastAsia="仿宋_GB2312"/>
              </w:rPr>
              <w:t>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须的设备和专业技术能力：供应商须具备建设行政主管部门核发的消防设施工程专业承包二级（含二级）及以上资质等级，且具有有效的安全生产许可证且在有效期内（注：①提供加盖公章的证照复印件；②供应商基本信息及项目负责人的基本信息应在“陕西省住房和城乡建设厅”或“全国建筑市场监管公共服务平台（四库一平台）”可查询，提供完整的网页截图，企业信息确认在有效期内且无不良行为记录，并加盖供应商公章）</w:t>
            </w:r>
          </w:p>
        </w:tc>
        <w:tc>
          <w:tcPr>
            <w:tcW w:type="dxa" w:w="3322"/>
          </w:tcPr>
          <w:p>
            <w:pPr>
              <w:pStyle w:val="null3"/>
            </w:pPr>
            <w:r>
              <w:rPr>
                <w:rFonts w:ascii="仿宋_GB2312" w:hAnsi="仿宋_GB2312" w:cs="仿宋_GB2312" w:eastAsia="仿宋_GB2312"/>
              </w:rPr>
              <w:t>具有履行合同所必须的设备和专业技术能力：供应商须具备建设行政主管部门核发的消防设施工程专业承包二级（含二级）及以上资质等级，且具有有效的安全生产许可证且在有效期内；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须具备机电工程专业注册建造师二级（含二级）以上执业资格和安全生产考核合格B证，且无在建项目、无不良信用记录；（注：①提供项目经理证照复印件（职称证、注册证、安全生产考核合格B证、身份证及单位缴纳社保证明）确认在有效期内并加盖单位公章；②提供项目经理“无不良信用承诺函”原件；③提供项目经理“无在建工程”声明函原件）</w:t>
            </w:r>
          </w:p>
        </w:tc>
        <w:tc>
          <w:tcPr>
            <w:tcW w:type="dxa" w:w="3322"/>
          </w:tcPr>
          <w:p>
            <w:pPr>
              <w:pStyle w:val="null3"/>
            </w:pPr>
            <w:r>
              <w:rPr>
                <w:rFonts w:ascii="仿宋_GB2312" w:hAnsi="仿宋_GB2312" w:cs="仿宋_GB2312" w:eastAsia="仿宋_GB2312"/>
              </w:rPr>
              <w:t>拟派项目负责人须具备机电工程专业注册建造师二级（含二级）以上执业资格和安全生产考核合格B证，且无在建项目、无不良信用记录；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供应商应授权合法的人员参加本次竞争性磋商活动：其中法定代表人直接参加的，须出具法人身份证，并与营业执照上信息一致；授权代表参加的，须出具法定代表人授权书及被授权人身份证</w:t>
            </w:r>
          </w:p>
        </w:tc>
        <w:tc>
          <w:tcPr>
            <w:tcW w:type="dxa" w:w="3322"/>
          </w:tcPr>
          <w:p>
            <w:pPr>
              <w:pStyle w:val="null3"/>
            </w:pPr>
            <w:r>
              <w:rPr>
                <w:rFonts w:ascii="仿宋_GB2312" w:hAnsi="仿宋_GB2312" w:cs="仿宋_GB2312" w:eastAsia="仿宋_GB2312"/>
              </w:rPr>
              <w:t>供应商应授权合法的人员参加本次竞争性磋商活动：其中法定代表人直接参加的，须出具法人身份证，并与营业执照上信息一致；授权代表参加的，须出具法定代表人授权书及被授权人身份证；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本项目不接受联合体磋商，单位负责人为同一人或者存在控股、管理关系的不同单位不得同时参与本项目磋商响应</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本项目不接受联合体磋商：单位负责人为同一人或者存在控股、管理关系的不同单位不得同时参与本项目磋商响应；</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按照汉中市财政局《关于全面推行政府采购投标人基本资格条件承诺制的通知》（汉财办采管〔2024〕20号）文件要求，提供满足相应条件的资格承诺函】</w:t>
            </w:r>
          </w:p>
        </w:tc>
        <w:tc>
          <w:tcPr>
            <w:tcW w:type="dxa" w:w="3322"/>
          </w:tcPr>
          <w:p>
            <w:pPr>
              <w:pStyle w:val="null3"/>
            </w:pPr>
            <w:r>
              <w:rPr>
                <w:rFonts w:ascii="仿宋_GB2312" w:hAnsi="仿宋_GB2312" w:cs="仿宋_GB2312" w:eastAsia="仿宋_GB2312"/>
              </w:rPr>
              <w:t>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按照汉中市财政局《关于全面推行政府采购投标人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磋商保证金转账凭证或磋商保函（提供加盖公章的复印件）</w:t>
            </w:r>
          </w:p>
        </w:tc>
        <w:tc>
          <w:tcPr>
            <w:tcW w:type="dxa" w:w="3322"/>
          </w:tcPr>
          <w:p>
            <w:pPr>
              <w:pStyle w:val="null3"/>
            </w:pPr>
            <w:r>
              <w:rPr>
                <w:rFonts w:ascii="仿宋_GB2312" w:hAnsi="仿宋_GB2312" w:cs="仿宋_GB2312" w:eastAsia="仿宋_GB2312"/>
              </w:rPr>
              <w:t>磋商保证金转账凭证或磋商保函。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磋商响应报价；</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①施工方案；</w:t>
            </w:r>
          </w:p>
        </w:tc>
        <w:tc>
          <w:tcPr>
            <w:tcW w:type="dxa" w:w="2492"/>
          </w:tcPr>
          <w:p>
            <w:pPr>
              <w:pStyle w:val="null3"/>
            </w:pPr>
            <w:r>
              <w:rPr>
                <w:rFonts w:ascii="仿宋_GB2312" w:hAnsi="仿宋_GB2312" w:cs="仿宋_GB2312" w:eastAsia="仿宋_GB2312"/>
              </w:rPr>
              <w:t>供应商提供针对本项目各类工程的施工方案，包括但不限于：①施工工艺、②劳动力配置计划、③对施工难度大、技术含量高的分项工程等进行说明并给出施工保障措施和专项技术方案、④施工机械配备和材料投入计划等方面。施工方案应符合招标项目特点及要求，描述详尽且有利于项目实施。 按其响应内容计0-10分；优：10分-7分；良：7分-3分，一般:3分-1分；未提供者不得分。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附件1：综合评分明细表：①施工方案.docx</w:t>
            </w:r>
          </w:p>
        </w:tc>
      </w:tr>
      <w:tr>
        <w:tc>
          <w:tcPr>
            <w:tcW w:type="dxa" w:w="831"/>
            <w:vMerge/>
          </w:tcPr>
          <w:p/>
        </w:tc>
        <w:tc>
          <w:tcPr>
            <w:tcW w:type="dxa" w:w="1661"/>
          </w:tcPr>
          <w:p>
            <w:pPr>
              <w:pStyle w:val="null3"/>
            </w:pPr>
            <w:r>
              <w:rPr>
                <w:rFonts w:ascii="仿宋_GB2312" w:hAnsi="仿宋_GB2312" w:cs="仿宋_GB2312" w:eastAsia="仿宋_GB2312"/>
              </w:rPr>
              <w:t>②施工进度计划；</w:t>
            </w:r>
          </w:p>
        </w:tc>
        <w:tc>
          <w:tcPr>
            <w:tcW w:type="dxa" w:w="2492"/>
          </w:tcPr>
          <w:p>
            <w:pPr>
              <w:pStyle w:val="null3"/>
            </w:pPr>
            <w:r>
              <w:rPr>
                <w:rFonts w:ascii="仿宋_GB2312" w:hAnsi="仿宋_GB2312" w:cs="仿宋_GB2312" w:eastAsia="仿宋_GB2312"/>
              </w:rPr>
              <w:t>供应商针对本项目工期要求及施工特点，提供针对本项目的施工进度计划，包括：①工程总进度施工计划、②进度控制保证措施。内容应符合采购项目特点及要求，描述详尽且有利于项目实施。 按其响应内容计0-10分；优：10分-7分；良：7分-3分，一般:3分-1分；未提供者不得分。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附件2：综合评分明细表：②施工进度计划.docx</w:t>
            </w:r>
          </w:p>
        </w:tc>
      </w:tr>
      <w:tr>
        <w:tc>
          <w:tcPr>
            <w:tcW w:type="dxa" w:w="831"/>
            <w:vMerge/>
          </w:tcPr>
          <w:p/>
        </w:tc>
        <w:tc>
          <w:tcPr>
            <w:tcW w:type="dxa" w:w="1661"/>
          </w:tcPr>
          <w:p>
            <w:pPr>
              <w:pStyle w:val="null3"/>
            </w:pPr>
            <w:r>
              <w:rPr>
                <w:rFonts w:ascii="仿宋_GB2312" w:hAnsi="仿宋_GB2312" w:cs="仿宋_GB2312" w:eastAsia="仿宋_GB2312"/>
              </w:rPr>
              <w:t>③质量技术组织措施；</w:t>
            </w:r>
          </w:p>
        </w:tc>
        <w:tc>
          <w:tcPr>
            <w:tcW w:type="dxa" w:w="2492"/>
          </w:tcPr>
          <w:p>
            <w:pPr>
              <w:pStyle w:val="null3"/>
            </w:pPr>
            <w:r>
              <w:rPr>
                <w:rFonts w:ascii="仿宋_GB2312" w:hAnsi="仿宋_GB2312" w:cs="仿宋_GB2312" w:eastAsia="仿宋_GB2312"/>
              </w:rPr>
              <w:t>供应商提供针对本项目的质量技术组织措施包括：①质量目标、②技术保障措施、③质量全过程检查制度。内容应符合招标项目特点及要求，描述详尽且有利于项目实施。按其响应内容计0-8分；优：8分-5分；良：5分-2分，一般:2分-1分；未提供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附件3：综合评分明细表：③质量技术组织措施.docx</w:t>
            </w:r>
          </w:p>
        </w:tc>
      </w:tr>
      <w:tr>
        <w:tc>
          <w:tcPr>
            <w:tcW w:type="dxa" w:w="831"/>
            <w:vMerge/>
          </w:tcPr>
          <w:p/>
        </w:tc>
        <w:tc>
          <w:tcPr>
            <w:tcW w:type="dxa" w:w="1661"/>
          </w:tcPr>
          <w:p>
            <w:pPr>
              <w:pStyle w:val="null3"/>
            </w:pPr>
            <w:r>
              <w:rPr>
                <w:rFonts w:ascii="仿宋_GB2312" w:hAnsi="仿宋_GB2312" w:cs="仿宋_GB2312" w:eastAsia="仿宋_GB2312"/>
              </w:rPr>
              <w:t>④安全保证措施；</w:t>
            </w:r>
          </w:p>
        </w:tc>
        <w:tc>
          <w:tcPr>
            <w:tcW w:type="dxa" w:w="2492"/>
          </w:tcPr>
          <w:p>
            <w:pPr>
              <w:pStyle w:val="null3"/>
            </w:pPr>
            <w:r>
              <w:rPr>
                <w:rFonts w:ascii="仿宋_GB2312" w:hAnsi="仿宋_GB2312" w:cs="仿宋_GB2312" w:eastAsia="仿宋_GB2312"/>
              </w:rPr>
              <w:t>供应商结合工程环境、特点，提供针对本项目的安全保证措施包括：①项目安全管理目标、②安全管理组织机构、③安全生产管理制度及安全保障措施。按其响应内容计0-8分；优：8分-5分；良：5分-2分，一般:2分-1分；未提供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附件4：综合评分明细表：④安全保证措施.docx</w:t>
            </w:r>
          </w:p>
        </w:tc>
      </w:tr>
      <w:tr>
        <w:tc>
          <w:tcPr>
            <w:tcW w:type="dxa" w:w="831"/>
            <w:vMerge/>
          </w:tcPr>
          <w:p/>
        </w:tc>
        <w:tc>
          <w:tcPr>
            <w:tcW w:type="dxa" w:w="1661"/>
          </w:tcPr>
          <w:p>
            <w:pPr>
              <w:pStyle w:val="null3"/>
            </w:pPr>
            <w:r>
              <w:rPr>
                <w:rFonts w:ascii="仿宋_GB2312" w:hAnsi="仿宋_GB2312" w:cs="仿宋_GB2312" w:eastAsia="仿宋_GB2312"/>
              </w:rPr>
              <w:t>⑤环保文明措施；</w:t>
            </w:r>
          </w:p>
        </w:tc>
        <w:tc>
          <w:tcPr>
            <w:tcW w:type="dxa" w:w="2492"/>
          </w:tcPr>
          <w:p>
            <w:pPr>
              <w:pStyle w:val="null3"/>
            </w:pPr>
            <w:r>
              <w:rPr>
                <w:rFonts w:ascii="仿宋_GB2312" w:hAnsi="仿宋_GB2312" w:cs="仿宋_GB2312" w:eastAsia="仿宋_GB2312"/>
              </w:rPr>
              <w:t>供应商提供环保文明措施，包括但不限于①文明施工与环境管理目标、②文明施工与环境管理的组织机构、③文明施工与现场环境保护的控制措施。按其响应内容计0-8分；优：8分-5分；良：5分-2分，一般:2分-1分；未提供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附件5：综合评分明细表：⑤环保文明措施.docx</w:t>
            </w:r>
          </w:p>
        </w:tc>
      </w:tr>
      <w:tr>
        <w:tc>
          <w:tcPr>
            <w:tcW w:type="dxa" w:w="831"/>
            <w:vMerge/>
          </w:tcPr>
          <w:p/>
        </w:tc>
        <w:tc>
          <w:tcPr>
            <w:tcW w:type="dxa" w:w="1661"/>
          </w:tcPr>
          <w:p>
            <w:pPr>
              <w:pStyle w:val="null3"/>
            </w:pPr>
            <w:r>
              <w:rPr>
                <w:rFonts w:ascii="仿宋_GB2312" w:hAnsi="仿宋_GB2312" w:cs="仿宋_GB2312" w:eastAsia="仿宋_GB2312"/>
              </w:rPr>
              <w:t>⑥主要材料选择；</w:t>
            </w:r>
          </w:p>
        </w:tc>
        <w:tc>
          <w:tcPr>
            <w:tcW w:type="dxa" w:w="2492"/>
          </w:tcPr>
          <w:p>
            <w:pPr>
              <w:pStyle w:val="null3"/>
            </w:pPr>
            <w:r>
              <w:rPr>
                <w:rFonts w:ascii="仿宋_GB2312" w:hAnsi="仿宋_GB2312" w:cs="仿宋_GB2312" w:eastAsia="仿宋_GB2312"/>
              </w:rPr>
              <w:t>提供本项目施工所需主要材料的品牌、型号等详细清单，并对主要材料选择原因、品质等进行说明。根据清单是否完整、材料选择是否契合项目需求进行综合评审。按其响应内容计0-8分；优：8分-5分；良：5分-2分，一般:2分-1分；未提供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附件6：综合评分明细表：⑥主要材料选择.docx</w:t>
            </w:r>
          </w:p>
        </w:tc>
      </w:tr>
      <w:tr>
        <w:tc>
          <w:tcPr>
            <w:tcW w:type="dxa" w:w="831"/>
            <w:vMerge/>
          </w:tcPr>
          <w:p/>
        </w:tc>
        <w:tc>
          <w:tcPr>
            <w:tcW w:type="dxa" w:w="1661"/>
          </w:tcPr>
          <w:p>
            <w:pPr>
              <w:pStyle w:val="null3"/>
            </w:pPr>
            <w:r>
              <w:rPr>
                <w:rFonts w:ascii="仿宋_GB2312" w:hAnsi="仿宋_GB2312" w:cs="仿宋_GB2312" w:eastAsia="仿宋_GB2312"/>
              </w:rPr>
              <w:t>⑦保修承诺；</w:t>
            </w:r>
          </w:p>
        </w:tc>
        <w:tc>
          <w:tcPr>
            <w:tcW w:type="dxa" w:w="2492"/>
          </w:tcPr>
          <w:p>
            <w:pPr>
              <w:pStyle w:val="null3"/>
            </w:pPr>
            <w:r>
              <w:rPr>
                <w:rFonts w:ascii="仿宋_GB2312" w:hAnsi="仿宋_GB2312" w:cs="仿宋_GB2312" w:eastAsia="仿宋_GB2312"/>
              </w:rPr>
              <w:t>供应商质量保修承诺完整，包括但不限于：A.有售后保障工作服务方案及工作计划；B.有保修团队人员配备并具备相关资格证书；C.有巡查或复查计划及售后质量保障措施；D.对工程维修服务响应时限有明确的承诺。每有一项缺项扣1分，每有一项内容中有缺陷，指项目需求不匹配或不能满足项目实施要求及其他不利于项目实施的扣1分，此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附件7：综合评分明细表：⑦保修承诺.docx</w:t>
            </w:r>
          </w:p>
        </w:tc>
      </w:tr>
      <w:tr>
        <w:tc>
          <w:tcPr>
            <w:tcW w:type="dxa" w:w="831"/>
            <w:vMerge/>
          </w:tcPr>
          <w:p/>
        </w:tc>
        <w:tc>
          <w:tcPr>
            <w:tcW w:type="dxa" w:w="1661"/>
          </w:tcPr>
          <w:p>
            <w:pPr>
              <w:pStyle w:val="null3"/>
            </w:pPr>
            <w:r>
              <w:rPr>
                <w:rFonts w:ascii="仿宋_GB2312" w:hAnsi="仿宋_GB2312" w:cs="仿宋_GB2312" w:eastAsia="仿宋_GB2312"/>
              </w:rPr>
              <w:t>⑧针对本项目的应急措施计划；</w:t>
            </w:r>
          </w:p>
        </w:tc>
        <w:tc>
          <w:tcPr>
            <w:tcW w:type="dxa" w:w="2492"/>
          </w:tcPr>
          <w:p>
            <w:pPr>
              <w:pStyle w:val="null3"/>
            </w:pPr>
            <w:r>
              <w:rPr>
                <w:rFonts w:ascii="仿宋_GB2312" w:hAnsi="仿宋_GB2312" w:cs="仿宋_GB2312" w:eastAsia="仿宋_GB2312"/>
              </w:rPr>
              <w:t>供应商针对本项目的应急措施，包含但不限于施工过程中存在雨季、冬季低温及校园内施工等情况下可能存在的问题制定应急措施计划，根据合理、可行响应程度进行评审： A.应急措施计划具体、详细、可行：得[4-6]分；B.应急措施计划较具体、较详细、较可行得：[2-4）分；C.应急措施计划内容模糊不清，可行性较弱：得[1-2）分；D.未提供者不得分。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附件8：综合评分明细表：⑧针对本项目的应急措施计划.docx</w:t>
            </w:r>
          </w:p>
        </w:tc>
      </w:tr>
      <w:tr>
        <w:tc>
          <w:tcPr>
            <w:tcW w:type="dxa" w:w="831"/>
            <w:vMerge/>
          </w:tcPr>
          <w:p/>
        </w:tc>
        <w:tc>
          <w:tcPr>
            <w:tcW w:type="dxa" w:w="1661"/>
          </w:tcPr>
          <w:p>
            <w:pPr>
              <w:pStyle w:val="null3"/>
            </w:pPr>
            <w:r>
              <w:rPr>
                <w:rFonts w:ascii="仿宋_GB2312" w:hAnsi="仿宋_GB2312" w:cs="仿宋_GB2312" w:eastAsia="仿宋_GB2312"/>
              </w:rPr>
              <w:t>⑨类似业绩；</w:t>
            </w:r>
          </w:p>
        </w:tc>
        <w:tc>
          <w:tcPr>
            <w:tcW w:type="dxa" w:w="2492"/>
          </w:tcPr>
          <w:p>
            <w:pPr>
              <w:pStyle w:val="null3"/>
            </w:pPr>
            <w:r>
              <w:rPr>
                <w:rFonts w:ascii="仿宋_GB2312" w:hAnsi="仿宋_GB2312" w:cs="仿宋_GB2312" w:eastAsia="仿宋_GB2312"/>
              </w:rPr>
              <w:t>供应商提供近三年（2022年11月-至今）完成类似项目业绩（时间以签订的施工合同时间为准），每提供1个业绩得1分，此项最高得4分；（注：业绩评审需提供加盖公章的项目施工合同复印件）。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1、本次磋商有磋商最高限价。供应商的磋商总价超过磋商最高限价的视为废标,不再参与下一步评审。 2、有效最低报价为基准价得30分。 3、按（有效最低报价/有效磋商报价）×30的公式计算其得分。 4、磋商报价不完整的,不进入评标标准价的计算,本项得0分。 5、不正当竞争预防措施：在评审过程中,磋商小组认定有可能影响产品质量或者不能诚信履约的,磋商小组应当要求其在评审现场合理的时间内提供成本构成书面说明,并提交相关证明材料。磋商单位书面说明应当按照国家财务会计制度的规定要求,逐项就投标单位提供的货物、工程和服务的主营业务成本（应根据投标单位企业类型予以区别）、税金及附加、销售费用、管理费用、财务费用等成本构成事项详细陈述。 磋商单位书面说明应当签字确认或者加盖公章,否则无效。书面说明的签字确认,磋商单位为法人的,由其法定代表人或者代理人签字确认;磋商单位为其他组织的,由其主要负责人或者代理人签字确认;磋商单位为自然人的,由其本人或者代理人签字确认。 磋商单位提供书面说明后,磋商小组应当结合采购项目需求、专业实际情况、磋商单位财务状况报告、与其他磋商单位比较情况等就磋商单位书面说明进行审查评价。磋商单位拒绝或者变相拒绝提供有效书面说明或者书面说明不能证明其报价合理性的,磋商小组应当将其响应文件作为无效响应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详见附件：附件1：综合评分明细表：①施工方案.docx</w:t>
      </w:r>
    </w:p>
    <w:p>
      <w:pPr>
        <w:pStyle w:val="null3"/>
        <w:ind w:firstLine="960"/>
      </w:pPr>
      <w:r>
        <w:rPr>
          <w:rFonts w:ascii="仿宋_GB2312" w:hAnsi="仿宋_GB2312" w:cs="仿宋_GB2312" w:eastAsia="仿宋_GB2312"/>
        </w:rPr>
        <w:t>详见附件：附件2：综合评分明细表：②施工进度计划.docx</w:t>
      </w:r>
    </w:p>
    <w:p>
      <w:pPr>
        <w:pStyle w:val="null3"/>
        <w:ind w:firstLine="960"/>
      </w:pPr>
      <w:r>
        <w:rPr>
          <w:rFonts w:ascii="仿宋_GB2312" w:hAnsi="仿宋_GB2312" w:cs="仿宋_GB2312" w:eastAsia="仿宋_GB2312"/>
        </w:rPr>
        <w:t>详见附件：附件3：综合评分明细表：③质量技术组织措施.docx</w:t>
      </w:r>
    </w:p>
    <w:p>
      <w:pPr>
        <w:pStyle w:val="null3"/>
        <w:ind w:firstLine="960"/>
      </w:pPr>
      <w:r>
        <w:rPr>
          <w:rFonts w:ascii="仿宋_GB2312" w:hAnsi="仿宋_GB2312" w:cs="仿宋_GB2312" w:eastAsia="仿宋_GB2312"/>
        </w:rPr>
        <w:t>详见附件：附件4：综合评分明细表：④安全保证措施.docx</w:t>
      </w:r>
    </w:p>
    <w:p>
      <w:pPr>
        <w:pStyle w:val="null3"/>
        <w:ind w:firstLine="960"/>
      </w:pPr>
      <w:r>
        <w:rPr>
          <w:rFonts w:ascii="仿宋_GB2312" w:hAnsi="仿宋_GB2312" w:cs="仿宋_GB2312" w:eastAsia="仿宋_GB2312"/>
        </w:rPr>
        <w:t>详见附件：附件5：综合评分明细表：⑤环保文明措施.docx</w:t>
      </w:r>
    </w:p>
    <w:p>
      <w:pPr>
        <w:pStyle w:val="null3"/>
        <w:ind w:firstLine="960"/>
      </w:pPr>
      <w:r>
        <w:rPr>
          <w:rFonts w:ascii="仿宋_GB2312" w:hAnsi="仿宋_GB2312" w:cs="仿宋_GB2312" w:eastAsia="仿宋_GB2312"/>
        </w:rPr>
        <w:t>详见附件：附件6：综合评分明细表：⑥主要材料选择.docx</w:t>
      </w:r>
    </w:p>
    <w:p>
      <w:pPr>
        <w:pStyle w:val="null3"/>
        <w:ind w:firstLine="960"/>
      </w:pPr>
      <w:r>
        <w:rPr>
          <w:rFonts w:ascii="仿宋_GB2312" w:hAnsi="仿宋_GB2312" w:cs="仿宋_GB2312" w:eastAsia="仿宋_GB2312"/>
        </w:rPr>
        <w:t>详见附件：附件7：综合评分明细表：⑦保修承诺.docx</w:t>
      </w:r>
    </w:p>
    <w:p>
      <w:pPr>
        <w:pStyle w:val="null3"/>
        <w:ind w:firstLine="960"/>
      </w:pPr>
      <w:r>
        <w:rPr>
          <w:rFonts w:ascii="仿宋_GB2312" w:hAnsi="仿宋_GB2312" w:cs="仿宋_GB2312" w:eastAsia="仿宋_GB2312"/>
        </w:rPr>
        <w:t>详见附件：附件8：综合评分明细表：⑧针对本项目的应急措施计划.docx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详见附件：施工合同样板（空）.docx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