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版本号：HXTC-ZFCG-南郑区-2025111320251113001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2025年南郑区汉山街道办事处白家湾村园区产业道路项目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HXTC-ZFCG-南郑区-20251113</w:t>
      </w:r>
      <w:r>
        <w:br/>
      </w:r>
      <w:r>
        <w:br/>
      </w:r>
      <w:r>
        <w:br/>
      </w:r>
    </w:p>
    <w:p>
      <w:pPr>
        <w:pStyle w:val="null3"/>
        <w:jc w:val="center"/>
        <w:outlineLvl w:val="2"/>
      </w:pPr>
      <w:r>
        <w:rPr>
          <w:rFonts w:ascii="仿宋_GB2312" w:hAnsi="仿宋_GB2312" w:cs="仿宋_GB2312" w:eastAsia="仿宋_GB2312"/>
          <w:sz w:val="28"/>
          <w:b/>
        </w:rPr>
        <w:t>汉中市南郑区汉山街道办事处</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汉中市南郑区汉山街道办事处</w:t>
      </w:r>
      <w:r>
        <w:rPr>
          <w:rFonts w:ascii="仿宋_GB2312" w:hAnsi="仿宋_GB2312" w:cs="仿宋_GB2312" w:eastAsia="仿宋_GB2312"/>
        </w:rPr>
        <w:t>委托，拟对</w:t>
      </w:r>
      <w:r>
        <w:rPr>
          <w:rFonts w:ascii="仿宋_GB2312" w:hAnsi="仿宋_GB2312" w:cs="仿宋_GB2312" w:eastAsia="仿宋_GB2312"/>
        </w:rPr>
        <w:t>2025年南郑区汉山街道办事处白家湾村园区产业道路项目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HXTC-ZFCG-南郑区-20251113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2025年南郑区汉山街道办事处白家湾村园区产业道路项目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该项目位于南郑区汉山街道办事处，全长 0.944公里（其中：路线1长0.544公里；路线2长0.400公里）。全线采用四级公路Ⅱ类技术标准，设计速度15km/h， 路面宽度3.5m，路基4.0m。全线路面采用砂石路面形式，桥涵设计为公路-Ⅱ级。 主要该工程内容：路基挖土方1932.60m³；路基填筑（利用土方）207.10m³；D20U型渠375.00m；D30U型渠734.00m；1-0.2m单孔钢筋混凝土过户涵23.00m；M7.5浆砌片石路肩墙1015.21m³；M7.5浆砌砖挡墙615.00m³；200mm厚山砂垫层4440.00㎡；100mm厚天然砂乐面层3890.00㎡；路肩培土248.76m³；蓄水池1座；PEφ32给水管350m；1-0.3m单孔钢筋混凝土圆管涵长12.00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采购包1（2025年南郑区汉山街道办事处白家湾村园区产业道路项目）：属于专门面向中小企业采购。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事业单位须提供事业单位法人证、组织机构代码证等证明文件；其他组织应提供合法证明文件）：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2、具有履行合同所必须的设备和专业技术能力：供应商须具备建设行政主管部门核发的公路工程施工总承包三级（含三级）及以上资质等级，并具有安全生产许可证且在有效期内（注：①提供加盖公章的证照复印件；② 供应商应进入交通运输部“全国公路建设市场监督管理系统（https://hwdms.mot.gov.cn）” 中的公路工程施工资质企业名录，且供应商名称和资质与该名录中的相应企业 名称和资质完全一致，提供查询完整的网页截图，企业信息确认在有效期内且无不良行为记录，并加盖供应商公章）：具有履行合同所必须的设备和专业技术能力：供应商须具备建设行政主管部门核发的公路工程施工总承包三级（含三级）及以上资质等级，并具有安全生产许可证且在有效期内；</w:t>
      </w:r>
    </w:p>
    <w:p>
      <w:pPr>
        <w:pStyle w:val="null3"/>
      </w:pPr>
      <w:r>
        <w:rPr>
          <w:rFonts w:ascii="仿宋_GB2312" w:hAnsi="仿宋_GB2312" w:cs="仿宋_GB2312" w:eastAsia="仿宋_GB2312"/>
        </w:rPr>
        <w:t>3、拟派项目经理须具备公路工程专业注册建造师二级（含二级）以上执业资格和安全生产考核合格证书，在本单位注册且无不良信用、无在建工程；（注：①提供项目经理证照复印件（职称证、注册证、安全生产考核合格B证、身份证及单位缴纳社保证明）确认在有效期内并加盖单位公章；②提供项目经理“无不良信用承诺函”原件；③提供项目经理“无在建工程”声明函原件）：拟派项目经理须具备公路工程专业注册建造师二级（含二级）以上执业资格和安全生产考核合格证书，在本单位注册且无不良信用、无在建工程；</w:t>
      </w:r>
    </w:p>
    <w:p>
      <w:pPr>
        <w:pStyle w:val="null3"/>
      </w:pPr>
      <w:r>
        <w:rPr>
          <w:rFonts w:ascii="仿宋_GB2312" w:hAnsi="仿宋_GB2312" w:cs="仿宋_GB2312" w:eastAsia="仿宋_GB2312"/>
        </w:rPr>
        <w:t>4、供应商应授权合法的人员参加本次竞争性磋商活动：其中法定代表人直接参加的，须出具法人身份证，并与营业执照上信息一致；授权代表参加的，须出具法定代表人授权书及被授权人身份证：供应商应授权合法的人员参加本次竞争性磋商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5、本项目不接受联合体磋商：单位负责人为同一人或者存在控股、管理关系的不同单位不得同时参与本项目磋商响应（注：提供“非联合体声明函”）：本项目不接受联合体磋商：单位负责人为同一人或者存在控股、管理关系的不同单位不得同时参与本项目磋商响应；</w:t>
      </w:r>
    </w:p>
    <w:p>
      <w:pPr>
        <w:pStyle w:val="null3"/>
      </w:pPr>
      <w:r>
        <w:rPr>
          <w:rFonts w:ascii="仿宋_GB2312" w:hAnsi="仿宋_GB2312" w:cs="仿宋_GB2312" w:eastAsia="仿宋_GB2312"/>
        </w:rPr>
        <w:t>6、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按照汉中市财政局《关于全面推行政府采购投标人基本资格条件承诺制的通知》（汉财办采管〔2024〕20号）文件要求，提供满足相应条件的资格承诺函（格式详见附件）】：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7、磋商保证金转账凭证或磋商保函（提供加盖公章的复印件）：磋商保证金转账凭证或磋商保函。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汉中市南郑区汉山街道办事处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陕西省汉中市南郑区南环路8号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汉中市南郑区汉山街道办事处经办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陕西省汉中市汉台区将坛西路南侧35号颐馨园小区东单元十一楼1101室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采购包1：977,894.00元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 8277 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857号）、《国家发展改革委关于降低部分建设项目收费标准规范收费行为等有关问题的通知》（发改价格[2011]534号）的有关规定执行或双方合同约定。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汉中市南郑区汉山街道办事处</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汉中市南郑区汉山街道办事处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汉中市南郑区汉山街道办事处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甲乙双方合同内约定，符合国家及行业相关标准；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联系电话：18691605987</w:t>
      </w:r>
    </w:p>
    <w:p>
      <w:pPr>
        <w:pStyle w:val="null3"/>
      </w:pPr>
      <w:r>
        <w:rPr>
          <w:rFonts w:ascii="仿宋_GB2312" w:hAnsi="仿宋_GB2312" w:cs="仿宋_GB2312" w:eastAsia="仿宋_GB2312"/>
        </w:rPr>
        <w:t>地址：陕西省汉中市汉台区将坛西路南侧35号颐馨园小区东单元十一楼1101室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977,894.00</w:t>
      </w:r>
    </w:p>
    <w:p>
      <w:pPr>
        <w:pStyle w:val="null3"/>
      </w:pPr>
      <w:r>
        <w:rPr>
          <w:rFonts w:ascii="仿宋_GB2312" w:hAnsi="仿宋_GB2312" w:cs="仿宋_GB2312" w:eastAsia="仿宋_GB2312"/>
        </w:rPr>
        <w:t>采购包最高限价（元）: 977,894.00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园区产业道路建设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977,894.00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标的名称：园区产业道路建设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1"/>
              </w:rPr>
              <w:t>1、工程技术参数（工程概况）：该项目位于南郑区汉山街道办事处，全长 0.944公里（其中：路线1长0.544公里；路线2长0.400公里）。全线采用四级公路Ⅱ类技术标准，设计速度15km/h， 路面宽度3.5m，路基4.0m。全线路面采用砂石路面形式，桥涵设计为公路-Ⅱ级。</w:t>
            </w:r>
          </w:p>
          <w:p>
            <w:pPr>
              <w:pStyle w:val="null3"/>
              <w:ind w:firstLine="560"/>
            </w:pPr>
            <w:r>
              <w:rPr>
                <w:rFonts w:ascii="仿宋_GB2312" w:hAnsi="仿宋_GB2312" w:cs="仿宋_GB2312" w:eastAsia="仿宋_GB2312"/>
                <w:sz w:val="21"/>
              </w:rPr>
              <w:t>主要该工程内容：路基挖土方1932.60m³；路基填筑（利用土方）207.10m³；D20U型渠375.00m；D30U型渠734.00m；1-0.2m单孔钢筋混凝土过户涵23.00m；M7.5浆砌片石路肩墙1015.21m³；M7.5浆砌砖挡墙615.00m³；200mm厚山砂垫层4440.00㎡；100mm厚天然砂乐面层3890.00㎡；路肩培土248.76m³；蓄水池1座；PEφ32给水管350m；1-0.3m单孔钢筋混凝土圆管涵长12.00m。</w:t>
            </w:r>
          </w:p>
          <w:p>
            <w:pPr>
              <w:pStyle w:val="null3"/>
              <w:ind w:firstLine="560"/>
            </w:pPr>
            <w:r>
              <w:rPr>
                <w:rFonts w:ascii="仿宋_GB2312" w:hAnsi="仿宋_GB2312" w:cs="仿宋_GB2312" w:eastAsia="仿宋_GB2312"/>
                <w:sz w:val="21"/>
              </w:rPr>
              <w:t>2、性能指标：（1）2025年南郑区汉山街道办事处白家湾村园区产业道路项目施工图纸；（2）交通运输部《公路工程标准施工招标文件》（2018年版）及《公路工程标准施工招标资格预审文件》（2018年版）；（3）《公路工程基本建设项目概算预算编制办法》（JTG 3830-2018）；《公路工程预算定额》(JTG/T 3832—2018)；《公路工程机械台班费用定额》(JTG/T 3833—2018)。（4）陕西省交通运输厅关于印发《&lt;公路工程建设项目投资估算编制办法&gt;、&lt;公路工程建设项目概算预算编制办法&gt;补充规定》陕交发[2019 ]93号文件的通知；（5）工程质量：合格；（6）安全目标：无安全责任事故发生。</w:t>
            </w:r>
          </w:p>
          <w:p>
            <w:pPr>
              <w:pStyle w:val="null3"/>
              <w:ind w:firstLine="560"/>
            </w:pPr>
            <w:r>
              <w:rPr>
                <w:rFonts w:ascii="仿宋_GB2312" w:hAnsi="仿宋_GB2312" w:cs="仿宋_GB2312" w:eastAsia="仿宋_GB2312"/>
                <w:sz w:val="21"/>
              </w:rPr>
              <w:t>3、本项目设最高限价：¥：977,894.00元（大写：玖拾柒万柒仟捌佰玖拾肆元整），供应商的磋商响应报价超过最高限价的，视为未响应竞争性磋商文件要求，其磋商响应文件按无效响应处理。</w:t>
            </w:r>
          </w:p>
          <w:p>
            <w:pPr>
              <w:pStyle w:val="null3"/>
              <w:ind w:firstLine="560"/>
            </w:pPr>
            <w:r>
              <w:rPr>
                <w:rFonts w:ascii="仿宋_GB2312" w:hAnsi="仿宋_GB2312" w:cs="仿宋_GB2312" w:eastAsia="仿宋_GB2312"/>
                <w:sz w:val="21"/>
              </w:rPr>
              <w:t>4、本项目工期（合同履行期限）：合同签订后30日历天（具体服务起止日期可随合同签订时间相应顺延）。</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1、本项目工期（合同履行期限）：合同签订后30日历天（具体服务起止日期可随合同签订时间相应顺延）；2、其他技术服务要求甲乙双方合同内约定，技术服务及要求符合国家、地方及行业相关标准规定。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须的设备和专业技术能力：供应商须具备建设行政主管部门核发的公路工程施工总承包三级（含三级）及以上资质等级，并具有安全生产许可证且在有效期内（注：①提供加盖公章的证照复印件；② 供应商应进入交通运输部“全国公路建设市场监督管理系统（https://hwdms.mot.gov.cn）” 中的公路工程施工资质企业名录，且供应商名称和资质与该名录中的相应企业 名称和资质完全一致，提供查询完整的网页截图，企业信息确认在有效期内且无不良行为记录，并加盖供应商公章）</w:t>
            </w:r>
          </w:p>
        </w:tc>
        <w:tc>
          <w:tcPr>
            <w:tcW w:type="dxa" w:w="3322"/>
          </w:tcPr>
          <w:p>
            <w:pPr>
              <w:pStyle w:val="null3"/>
            </w:pPr>
            <w:r>
              <w:rPr>
                <w:rFonts w:ascii="仿宋_GB2312" w:hAnsi="仿宋_GB2312" w:cs="仿宋_GB2312" w:eastAsia="仿宋_GB2312"/>
              </w:rPr>
              <w:t>具有履行合同所必须的设备和专业技术能力：供应商须具备建设行政主管部门核发的公路工程施工总承包三级（含三级）及以上资质等级，并具有安全生产许可证且在有效期内；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须具备公路工程专业注册建造师二级（含二级）以上执业资格和安全生产考核合格证书，在本单位注册且无不良信用、无在建工程；（注：①提供项目经理证照复印件（职称证、注册证、安全生产考核合格B证、身份证及单位缴纳社保证明）确认在有效期内并加盖单位公章；②提供项目经理“无不良信用承诺函”原件；③提供项目经理“无在建工程”声明函原件）</w:t>
            </w:r>
          </w:p>
        </w:tc>
        <w:tc>
          <w:tcPr>
            <w:tcW w:type="dxa" w:w="3322"/>
          </w:tcPr>
          <w:p>
            <w:pPr>
              <w:pStyle w:val="null3"/>
            </w:pPr>
            <w:r>
              <w:rPr>
                <w:rFonts w:ascii="仿宋_GB2312" w:hAnsi="仿宋_GB2312" w:cs="仿宋_GB2312" w:eastAsia="仿宋_GB2312"/>
              </w:rPr>
              <w:t>拟派项目经理须具备公路工程专业注册建造师二级（含二级）以上执业资格和安全生产考核合格证书，在本单位注册且无不良信用、无在建工程；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332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本项目不接受联合体磋商：单位负责人为同一人或者存在控股、管理关系的不同单位不得同时参与本项目磋商响应（注：提供“非联合体声明函”）</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按照汉中市财政局《关于全面推行政府采购投标人基本资格条件承诺制的通知》（汉财办采管〔2024〕20号）文件要求，提供满足相应条件的资格承诺函（格式详见附件）】</w:t>
            </w:r>
          </w:p>
        </w:tc>
        <w:tc>
          <w:tcPr>
            <w:tcW w:type="dxa" w:w="332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磋商保证金转账凭证或磋商保函（提供加盖公章的复印件）</w:t>
            </w:r>
          </w:p>
        </w:tc>
        <w:tc>
          <w:tcPr>
            <w:tcW w:type="dxa" w:w="3322"/>
          </w:tcPr>
          <w:p>
            <w:pPr>
              <w:pStyle w:val="null3"/>
            </w:pPr>
            <w:r>
              <w:rPr>
                <w:rFonts w:ascii="仿宋_GB2312" w:hAnsi="仿宋_GB2312" w:cs="仿宋_GB2312" w:eastAsia="仿宋_GB2312"/>
              </w:rPr>
              <w:t>磋商保证金转账凭证或磋商保函。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①项目实施方案；</w:t>
            </w:r>
          </w:p>
        </w:tc>
        <w:tc>
          <w:tcPr>
            <w:tcW w:type="dxa" w:w="2492"/>
          </w:tcPr>
          <w:p>
            <w:pPr>
              <w:pStyle w:val="null3"/>
            </w:pPr>
            <w:r>
              <w:rPr>
                <w:rFonts w:ascii="仿宋_GB2312" w:hAnsi="仿宋_GB2312" w:cs="仿宋_GB2312" w:eastAsia="仿宋_GB2312"/>
              </w:rPr>
              <w:t>提供针对本项目的项目实施方案及措施进行综合评审。 A.实施方案完整详细、有针对性，完全满足项目实施，具有优化建议的得[8-10]分； B.实施方案完整，可行，有针对性，能满足项目实施的全部要求的得[5-8）分； C.实施方案有较大缺陷，或完全套用其他项目且内容较少的得[2-5）分; D.实施方案存在不利于采购人安全作业要求实现的，得（0-2）分。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附件1：综合评分明细表：①项目实施方案.docx</w:t>
            </w:r>
          </w:p>
        </w:tc>
      </w:tr>
      <w:tr>
        <w:tc>
          <w:tcPr>
            <w:tcW w:type="dxa" w:w="831"/>
            <w:vMerge/>
          </w:tcPr>
          <w:p/>
        </w:tc>
        <w:tc>
          <w:tcPr>
            <w:tcW w:type="dxa" w:w="1661"/>
          </w:tcPr>
          <w:p>
            <w:pPr>
              <w:pStyle w:val="null3"/>
            </w:pPr>
            <w:r>
              <w:rPr>
                <w:rFonts w:ascii="仿宋_GB2312" w:hAnsi="仿宋_GB2312" w:cs="仿宋_GB2312" w:eastAsia="仿宋_GB2312"/>
              </w:rPr>
              <w:t>②安全作业管理；</w:t>
            </w:r>
          </w:p>
        </w:tc>
        <w:tc>
          <w:tcPr>
            <w:tcW w:type="dxa" w:w="2492"/>
          </w:tcPr>
          <w:p>
            <w:pPr>
              <w:pStyle w:val="null3"/>
            </w:pPr>
            <w:r>
              <w:rPr>
                <w:rFonts w:ascii="仿宋_GB2312" w:hAnsi="仿宋_GB2312" w:cs="仿宋_GB2312" w:eastAsia="仿宋_GB2312"/>
              </w:rPr>
              <w:t>提供针对本项目提供具体的安全作业方案及安全配套措施进行综合评审。 A.提供具体详细、有针对性的安全作业方案及安全配套措施，完全符合采购人安全作业要求且具有优化建议的，得[8-10]分； B.提供安全作业方案及安全配套措施，符合采购人安全作业的要求，得[5-8）分； C.提供的安全作业方案及安全配套措施非专门针对本项目，套用其他项目内容，存在逻辑漏洞或前后内容不一致的得[2-5）分； D.提供的安全作业方案及安全配套措施简陋，存在不利于采购人安全作业要求实现的，得（0-2）分。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附件2：综合评分明细表：②安全作业管理.docx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③技术组织措施；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附件3：综合评分明细表：③技术组织措施.docx</w:t>
            </w:r>
          </w:p>
        </w:tc>
      </w:tr>
      <w:tr>
        <w:tc>
          <w:tcPr>
            <w:tcW w:type="dxa" w:w="831"/>
            <w:vMerge/>
          </w:tcPr>
          <w:p/>
        </w:tc>
        <w:tc>
          <w:tcPr>
            <w:tcW w:type="dxa" w:w="1661"/>
          </w:tcPr>
          <w:p>
            <w:pPr>
              <w:pStyle w:val="null3"/>
            </w:pPr>
            <w:r>
              <w:rPr>
                <w:rFonts w:ascii="仿宋_GB2312" w:hAnsi="仿宋_GB2312" w:cs="仿宋_GB2312" w:eastAsia="仿宋_GB2312"/>
              </w:rPr>
              <w:t>④文明施工措施计划；</w:t>
            </w:r>
          </w:p>
        </w:tc>
        <w:tc>
          <w:tcPr>
            <w:tcW w:type="dxa" w:w="2492"/>
          </w:tcPr>
          <w:p>
            <w:pPr>
              <w:pStyle w:val="null3"/>
            </w:pPr>
            <w:r>
              <w:rPr>
                <w:rFonts w:ascii="仿宋_GB2312" w:hAnsi="仿宋_GB2312" w:cs="仿宋_GB2312" w:eastAsia="仿宋_GB2312"/>
              </w:rPr>
              <w:t>提供针对本项目的文明施工措施计划进行综合评审。 A.措施计划详细齐全、合理且切实可行，完全满足采购人需求，具有优化建议的得[3-5]分； B.措施计划齐全、合理、切实可行，满足采购人需求得[2-3）分； C.措施计划非专门针对本项目，存在逻辑漏洞或前后内容不一致的得[1-2）分； D.措施计划有较大缺陷，或完全套用其他项目且内容较少，或未提供的得0分。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附件4：综合评分明细表：④文明施工措施计划.docx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⑤项目组织管理机构；</w:t>
            </w:r>
          </w:p>
        </w:tc>
        <w:tc>
          <w:tcPr>
            <w:tcW w:type="dxa" w:w="2492"/>
          </w:tcPr>
          <w:p>
            <w:pPr>
              <w:pStyle w:val="null3"/>
            </w:pPr>
            <w:r>
              <w:rPr>
                <w:rFonts w:ascii="仿宋_GB2312" w:hAnsi="仿宋_GB2312" w:cs="仿宋_GB2312" w:eastAsia="仿宋_GB2312"/>
              </w:rPr>
              <w:t>提供针对本项目的项目组织管理机构配备进行综合评审。 A.机构设置合理完善，人员配备齐全，技术经验丰富，人员专业性强，完全满足项目需求得[4-5]分； B.机构设置合理，人员配备齐全，且具备从业经验，满足项目需求得[3-4）分； C.机构设置非专门针对本项目，人员配备、技术经验有缺陷的得[1-3）分； D.机构设置、人员配备不完整，或无相关经验的得（0-1）分； E.未提供得0分。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附件5：综合评分明细表：⑤项目组织管理机构.docx</w:t>
            </w:r>
          </w:p>
        </w:tc>
      </w:tr>
      <w:tr>
        <w:tc>
          <w:tcPr>
            <w:tcW w:type="dxa" w:w="831"/>
            <w:vMerge/>
          </w:tcPr>
          <w:p/>
        </w:tc>
        <w:tc>
          <w:tcPr>
            <w:tcW w:type="dxa" w:w="1661"/>
          </w:tcPr>
          <w:p>
            <w:pPr>
              <w:pStyle w:val="null3"/>
            </w:pPr>
            <w:r>
              <w:rPr>
                <w:rFonts w:ascii="仿宋_GB2312" w:hAnsi="仿宋_GB2312" w:cs="仿宋_GB2312" w:eastAsia="仿宋_GB2312"/>
              </w:rPr>
              <w:t>⑥施工机械配备和材料投入计划；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A.施工机械配备合理并提供设备来源证明材料，证明材料齐全且投入材料环保性优于国家标准的得[4-5]分； B.施工机械配备合理和材料环保性较好，提供了设备来源证明材料的得[2-4）分； C.施工机械配备和材料投入计划基本合理、可行，但未提供其他证明材料的得（0-2）分；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附件6：综合评分明细表：⑥施工机械配备和材料投入计划.docx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⑦劳动力安排计划及劳务分包情况表；</w:t>
            </w:r>
          </w:p>
        </w:tc>
        <w:tc>
          <w:tcPr>
            <w:tcW w:type="dxa" w:w="2492"/>
          </w:tcPr>
          <w:p>
            <w:pPr>
              <w:pStyle w:val="null3"/>
            </w:pPr>
            <w:r>
              <w:rPr>
                <w:rFonts w:ascii="仿宋_GB2312" w:hAnsi="仿宋_GB2312" w:cs="仿宋_GB2312" w:eastAsia="仿宋_GB2312"/>
              </w:rPr>
              <w:t>根据供应商就本项目劳动力安排计划及劳务分包情况表，根据合理、可行程度进行评审。 A.劳动力安排计划及劳务分包完整、合理、可行，有利于本项目实施的得[3-5]分； B.劳动力安排计划及劳务分包合理、可行的，基本能满足项目实施的得[1-3）分； C.劳动力安排计划及劳务分包可行性较差，存在缺陷或未提供的得0分。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附件7：综合评分明细表：⑦劳动力安排计划及劳务分包情况表.docx</w:t>
            </w:r>
          </w:p>
        </w:tc>
      </w:tr>
      <w:tr>
        <w:tc>
          <w:tcPr>
            <w:tcW w:type="dxa" w:w="831"/>
            <w:vMerge/>
          </w:tcPr>
          <w:p/>
        </w:tc>
        <w:tc>
          <w:tcPr>
            <w:tcW w:type="dxa" w:w="1661"/>
          </w:tcPr>
          <w:p>
            <w:pPr>
              <w:pStyle w:val="null3"/>
            </w:pPr>
            <w:r>
              <w:rPr>
                <w:rFonts w:ascii="仿宋_GB2312" w:hAnsi="仿宋_GB2312" w:cs="仿宋_GB2312" w:eastAsia="仿宋_GB2312"/>
              </w:rPr>
              <w:t>⑧保修承诺；</w:t>
            </w:r>
          </w:p>
        </w:tc>
        <w:tc>
          <w:tcPr>
            <w:tcW w:type="dxa" w:w="2492"/>
          </w:tcPr>
          <w:p>
            <w:pPr>
              <w:pStyle w:val="null3"/>
            </w:pPr>
            <w:r>
              <w:rPr>
                <w:rFonts w:ascii="仿宋_GB2312" w:hAnsi="仿宋_GB2312" w:cs="仿宋_GB2312" w:eastAsia="仿宋_GB2312"/>
              </w:rPr>
              <w:t>供应商质量保修承诺完整，包括但不限于：A.有售后保障工作服务方案及工作计划；B.有保修团队人员配备并具备相关资格证书；C.有巡查或复查计划及售后质量保障措施；D.对工程维修服务响应时限有明确的承诺。每有一项缺项扣2分，每有一项内容中有缺陷，指项目需求不匹配或不能满足项目实施要求及其他不利于项目实施的扣1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附件8：综合评分明细表：⑧保修承诺.docx</w:t>
            </w:r>
          </w:p>
        </w:tc>
      </w:tr>
      <w:tr>
        <w:tc>
          <w:tcPr>
            <w:tcW w:type="dxa" w:w="831"/>
            <w:vMerge/>
          </w:tcPr>
          <w:p/>
        </w:tc>
        <w:tc>
          <w:tcPr>
            <w:tcW w:type="dxa" w:w="1661"/>
          </w:tcPr>
          <w:p>
            <w:pPr>
              <w:pStyle w:val="null3"/>
            </w:pPr>
            <w:r>
              <w:rPr>
                <w:rFonts w:ascii="仿宋_GB2312" w:hAnsi="仿宋_GB2312" w:cs="仿宋_GB2312" w:eastAsia="仿宋_GB2312"/>
              </w:rPr>
              <w:t>⑨针对本项目的应急措施承诺；</w:t>
            </w:r>
          </w:p>
        </w:tc>
        <w:tc>
          <w:tcPr>
            <w:tcW w:type="dxa" w:w="2492"/>
          </w:tcPr>
          <w:p>
            <w:pPr>
              <w:pStyle w:val="null3"/>
            </w:pPr>
            <w:r>
              <w:rPr>
                <w:rFonts w:ascii="仿宋_GB2312" w:hAnsi="仿宋_GB2312" w:cs="仿宋_GB2312" w:eastAsia="仿宋_GB2312"/>
              </w:rPr>
              <w:t>供应商针对本项目的应急措施，包含但不限于施工过程中存在雨季、低温施工等情况，根据合理、可行程度进行评审： A.应急措施承诺具体、详细、可行：得[4-6]分；B.应急措施承诺较具体、较详细、较可行得：[2-4）分；C.应急措施承诺内容模糊不清，可行性较弱：得[1-2）分；D.未提供者不得分。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附件9：综合评分明细表：⑨针对本项目的应急措施承诺.docx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⑩类似业绩；</w:t>
            </w:r>
          </w:p>
        </w:tc>
        <w:tc>
          <w:tcPr>
            <w:tcW w:type="dxa" w:w="2492"/>
          </w:tcPr>
          <w:p>
            <w:pPr>
              <w:pStyle w:val="null3"/>
            </w:pPr>
            <w:r>
              <w:rPr>
                <w:rFonts w:ascii="仿宋_GB2312" w:hAnsi="仿宋_GB2312" w:cs="仿宋_GB2312" w:eastAsia="仿宋_GB2312"/>
              </w:rPr>
              <w:t>供应商提供近三年（2022年11月-至今）完成类似项目业绩（时间以签订的施工合同时间为准），每提供1个业绩得2分，此项最高得6分；（注：业绩评审需提供加盖公章的项目施工合同复印件）。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详见附件：附件1：综合评分明细表：①项目实施方案.docx</w:t>
      </w:r>
    </w:p>
    <w:p>
      <w:pPr>
        <w:pStyle w:val="null3"/>
        <w:ind w:firstLine="960"/>
      </w:pPr>
      <w:r>
        <w:rPr>
          <w:rFonts w:ascii="仿宋_GB2312" w:hAnsi="仿宋_GB2312" w:cs="仿宋_GB2312" w:eastAsia="仿宋_GB2312"/>
        </w:rPr>
        <w:t>详见附件：附件2：综合评分明细表：②安全作业管理.docx</w:t>
      </w:r>
    </w:p>
    <w:p>
      <w:pPr>
        <w:pStyle w:val="null3"/>
        <w:ind w:firstLine="960"/>
      </w:pPr>
      <w:r>
        <w:rPr>
          <w:rFonts w:ascii="仿宋_GB2312" w:hAnsi="仿宋_GB2312" w:cs="仿宋_GB2312" w:eastAsia="仿宋_GB2312"/>
        </w:rPr>
        <w:t>详见附件：附件3：综合评分明细表：③技术组织措施.docx</w:t>
      </w:r>
    </w:p>
    <w:p>
      <w:pPr>
        <w:pStyle w:val="null3"/>
        <w:ind w:firstLine="960"/>
      </w:pPr>
      <w:r>
        <w:rPr>
          <w:rFonts w:ascii="仿宋_GB2312" w:hAnsi="仿宋_GB2312" w:cs="仿宋_GB2312" w:eastAsia="仿宋_GB2312"/>
        </w:rPr>
        <w:t>详见附件：附件4：综合评分明细表：④文明施工措施计划.docx</w:t>
      </w:r>
    </w:p>
    <w:p>
      <w:pPr>
        <w:pStyle w:val="null3"/>
        <w:ind w:firstLine="960"/>
      </w:pPr>
      <w:r>
        <w:rPr>
          <w:rFonts w:ascii="仿宋_GB2312" w:hAnsi="仿宋_GB2312" w:cs="仿宋_GB2312" w:eastAsia="仿宋_GB2312"/>
        </w:rPr>
        <w:t>详见附件：附件5：综合评分明细表：⑤项目组织管理机构.docx</w:t>
      </w:r>
    </w:p>
    <w:p>
      <w:pPr>
        <w:pStyle w:val="null3"/>
        <w:ind w:firstLine="960"/>
      </w:pPr>
      <w:r>
        <w:rPr>
          <w:rFonts w:ascii="仿宋_GB2312" w:hAnsi="仿宋_GB2312" w:cs="仿宋_GB2312" w:eastAsia="仿宋_GB2312"/>
        </w:rPr>
        <w:t>详见附件：附件6：综合评分明细表：⑥施工机械配备和材料投入计划.docx</w:t>
      </w:r>
    </w:p>
    <w:p>
      <w:pPr>
        <w:pStyle w:val="null3"/>
        <w:ind w:firstLine="960"/>
      </w:pPr>
      <w:r>
        <w:rPr>
          <w:rFonts w:ascii="仿宋_GB2312" w:hAnsi="仿宋_GB2312" w:cs="仿宋_GB2312" w:eastAsia="仿宋_GB2312"/>
        </w:rPr>
        <w:t>详见附件：附件7：综合评分明细表：⑦劳动力安排计划及劳务分包情况表.docx</w:t>
      </w:r>
    </w:p>
    <w:p>
      <w:pPr>
        <w:pStyle w:val="null3"/>
        <w:ind w:firstLine="960"/>
      </w:pPr>
      <w:r>
        <w:rPr>
          <w:rFonts w:ascii="仿宋_GB2312" w:hAnsi="仿宋_GB2312" w:cs="仿宋_GB2312" w:eastAsia="仿宋_GB2312"/>
        </w:rPr>
        <w:t>详见附件：附件8：综合评分明细表：⑧保修承诺.docx</w:t>
      </w:r>
    </w:p>
    <w:p>
      <w:pPr>
        <w:pStyle w:val="null3"/>
        <w:ind w:firstLine="960"/>
      </w:pPr>
      <w:r>
        <w:rPr>
          <w:rFonts w:ascii="仿宋_GB2312" w:hAnsi="仿宋_GB2312" w:cs="仿宋_GB2312" w:eastAsia="仿宋_GB2312"/>
        </w:rPr>
        <w:t>详见附件：附件9：综合评分明细表：⑨针对本项目的应急措施承诺.docx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详见附件：施工合同样板（空）.docx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