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版本号：TZZB-HZ-2025322C20251126002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2025年大巴山北麓和汉江谷地水土保持与水源涵养项目(碑坝林场退化林修复)</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TZZB-HZ-2025322C</w:t>
      </w:r>
      <w:r>
        <w:br/>
      </w:r>
      <w:r>
        <w:br/>
      </w:r>
      <w:r>
        <w:br/>
      </w:r>
    </w:p>
    <w:p>
      <w:pPr>
        <w:pStyle w:val="null3"/>
        <w:jc w:val="center"/>
        <w:outlineLvl w:val="2"/>
      </w:pPr>
      <w:r>
        <w:rPr>
          <w:rFonts w:ascii="仿宋_GB2312" w:hAnsi="仿宋_GB2312" w:cs="仿宋_GB2312" w:eastAsia="仿宋_GB2312"/>
          <w:sz w:val="28"/>
          <w:b/>
        </w:rPr>
        <w:t>汉中市南郑区国有碑坝林场</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汉中市南郑区国有碑坝林场</w:t>
      </w:r>
      <w:r>
        <w:rPr>
          <w:rFonts w:ascii="仿宋_GB2312" w:hAnsi="仿宋_GB2312" w:cs="仿宋_GB2312" w:eastAsia="仿宋_GB2312"/>
        </w:rPr>
        <w:t>委托，拟对</w:t>
      </w:r>
      <w:r>
        <w:rPr>
          <w:rFonts w:ascii="仿宋_GB2312" w:hAnsi="仿宋_GB2312" w:cs="仿宋_GB2312" w:eastAsia="仿宋_GB2312"/>
        </w:rPr>
        <w:t>2025年大巴山北麓和汉江谷地水土保持与水源涵养项目(碑坝林场退化林修复)</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TZZB-HZ-2025322C</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2025年大巴山北麓和汉江谷地水土保持与水源涵养项目(碑坝林场退化林修复)</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2025年大巴山北麓和汉江谷地水土保持与水源涵养项目(碑坝林场退化林修复)</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采购包1（2025年大巴山北麓和汉江谷地水土保持与水源涵养项目(碑坝林场退化林修复）：属于专门面向中小企业采购。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2、投标人应授权合法的人员参加投标全过程：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3、投标人资格要求：投标人须提供《汉中市政府采购投标人资格承诺函》。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汉中市南郑区国有碑坝林场</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南郑区碑坝镇西河村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汉中市南郑区国有碑坝林场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0916-5493005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中市汉台区西一环路蓝天御苑小区商铺二层门面房南侧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0916-8897702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0916-8897702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采购包1：6,435,000.00元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开户名称：同正项目管理有限公司</w:t>
            </w:r>
          </w:p>
          <w:p>
            <w:pPr>
              <w:pStyle w:val="null3"/>
            </w:pPr>
            <w:r>
              <w:rPr>
                <w:rFonts w:ascii="仿宋_GB2312" w:hAnsi="仿宋_GB2312" w:cs="仿宋_GB2312" w:eastAsia="仿宋_GB2312"/>
              </w:rPr>
              <w:t>开户银行：中国建设银行股份有限公司西安长庆支行</w:t>
            </w:r>
          </w:p>
          <w:p>
            <w:pPr>
              <w:pStyle w:val="null3"/>
            </w:pPr>
            <w:r>
              <w:rPr>
                <w:rFonts w:ascii="仿宋_GB2312" w:hAnsi="仿宋_GB2312" w:cs="仿宋_GB2312" w:eastAsia="仿宋_GB2312"/>
              </w:rPr>
              <w:t>银行账号：61050190550000001106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代理服务费收费标准：代理服务费收费标准：本项目收取代理服务费 代理服务费用收取对象：中标/成交供应商 代理服务费收费标准：本项目收取代理服务费 代理服务费用收取对象：中标/成交供应商 代理服务费收费标准：1、本项目由中标/成交供应商向采购代理机构支付采购代理服务费，采购代理服务费的收取依据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 2、采购代理服务费的缴纳方式：在领取《成交通知书》时向采购代理机构一次性全额缴纳采购代理服务费。 3、采购代理服务费以转账形式缴纳至以下账户： 缴纳账户户名：同正项目管理有限公司汉中分公司 开户行：中国建设银行股份有限公司汉中北环路支行 账号：6105 0165 5200 0000 0101 汇款备注：项目名称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汉中市南郑区国有碑坝林场</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汉中市南郑区国有碑坝林场</w:t>
      </w:r>
      <w:r>
        <w:rPr>
          <w:rFonts w:ascii="仿宋_GB2312" w:hAnsi="仿宋_GB2312" w:cs="仿宋_GB2312" w:eastAsia="仿宋_GB2312"/>
        </w:rPr>
        <w:t>负责解释。除上述招标文件内容，其他内容由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汉中市南郑区国有碑坝林场</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1、按国家现行项目实施规范和合同规定的验收标准等要求进行验收。 2、由甲方和乙方共同对项目进行整体验收，甲方对验收是否合格进行确认。其内容包括是否按照甲方要求进行交货、是否在规定时间内交货验收完毕。 3、验收依据包含但不限于：本项目采购文件、投标文件；本合同及附件文本；合同履行时国家及行业现行的标准和技术规范。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联系人：王丽</w:t>
      </w:r>
    </w:p>
    <w:p>
      <w:pPr>
        <w:pStyle w:val="null3"/>
      </w:pPr>
      <w:r>
        <w:rPr>
          <w:rFonts w:ascii="仿宋_GB2312" w:hAnsi="仿宋_GB2312" w:cs="仿宋_GB2312" w:eastAsia="仿宋_GB2312"/>
        </w:rPr>
        <w:t>联系电话：0916-8897702</w:t>
      </w:r>
    </w:p>
    <w:p>
      <w:pPr>
        <w:pStyle w:val="null3"/>
      </w:pPr>
      <w:r>
        <w:rPr>
          <w:rFonts w:ascii="仿宋_GB2312" w:hAnsi="仿宋_GB2312" w:cs="仿宋_GB2312" w:eastAsia="仿宋_GB2312"/>
        </w:rPr>
        <w:t>地址：中市汉台区西一环路蓝天御苑小区商铺二层门面房南侧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2025年大巴山北麓和汉江谷地水土保持与水源涵养项目(碑坝林场退化林修复)</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6,435,000.00</w:t>
      </w:r>
    </w:p>
    <w:p>
      <w:pPr>
        <w:pStyle w:val="null3"/>
      </w:pPr>
      <w:r>
        <w:rPr>
          <w:rFonts w:ascii="仿宋_GB2312" w:hAnsi="仿宋_GB2312" w:cs="仿宋_GB2312" w:eastAsia="仿宋_GB2312"/>
        </w:rPr>
        <w:t>采购包最高限价（元）: 6,435,000.00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6435000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6,435,000.00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标的名称：6435000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小班区</w:t>
            </w:r>
            <w:r>
              <w:rPr>
                <w:rFonts w:ascii="仿宋_GB2312" w:hAnsi="仿宋_GB2312" w:cs="仿宋_GB2312" w:eastAsia="仿宋_GB2312"/>
                <w:sz w:val="21"/>
                <w:b/>
                <w:color w:val="000000"/>
              </w:rPr>
              <w:t>修复</w:t>
            </w:r>
            <w:r>
              <w:rPr>
                <w:rFonts w:ascii="仿宋_GB2312" w:hAnsi="仿宋_GB2312" w:cs="仿宋_GB2312" w:eastAsia="仿宋_GB2312"/>
                <w:sz w:val="21"/>
                <w:b/>
                <w:color w:val="000000"/>
              </w:rPr>
              <w:t>划统计表</w:t>
            </w:r>
          </w:p>
          <w:tbl>
            <w:tblPr>
              <w:tblBorders>
                <w:top w:val="none" w:color="000000" w:sz="4"/>
                <w:left w:val="none" w:color="000000" w:sz="4"/>
                <w:bottom w:val="none" w:color="000000" w:sz="4"/>
                <w:right w:val="none" w:color="000000" w:sz="4"/>
                <w:insideH w:val="none"/>
                <w:insideV w:val="none"/>
              </w:tblBorders>
            </w:tblPr>
            <w:tblGrid>
              <w:gridCol w:w="463"/>
              <w:gridCol w:w="381"/>
              <w:gridCol w:w="399"/>
              <w:gridCol w:w="583"/>
              <w:gridCol w:w="716"/>
            </w:tblGrid>
            <w:tr>
              <w:tc>
                <w:tcPr>
                  <w:tcW w:type="dxa" w:w="46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林场</w:t>
                  </w:r>
                </w:p>
              </w:tc>
              <w:tc>
                <w:tcPr>
                  <w:tcW w:type="dxa" w:w="38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林班号</w:t>
                  </w:r>
                </w:p>
              </w:tc>
              <w:tc>
                <w:tcPr>
                  <w:tcW w:type="dxa" w:w="39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小班数量（个）</w:t>
                  </w:r>
                </w:p>
              </w:tc>
              <w:tc>
                <w:tcPr>
                  <w:tcW w:type="dxa" w:w="58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小班总面积</w:t>
                  </w:r>
                </w:p>
                <w:p>
                  <w:pPr>
                    <w:pStyle w:val="null3"/>
                    <w:jc w:val="center"/>
                  </w:pPr>
                  <w:r>
                    <w:rPr>
                      <w:rFonts w:ascii="仿宋_GB2312" w:hAnsi="仿宋_GB2312" w:cs="仿宋_GB2312" w:eastAsia="仿宋_GB2312"/>
                      <w:sz w:val="21"/>
                      <w:color w:val="000000"/>
                    </w:rPr>
                    <w:t>（亩）</w:t>
                  </w:r>
                </w:p>
              </w:tc>
              <w:tc>
                <w:tcPr>
                  <w:tcW w:type="dxa" w:w="7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有效修复面积</w:t>
                  </w:r>
                </w:p>
                <w:p>
                  <w:pPr>
                    <w:pStyle w:val="null3"/>
                    <w:jc w:val="center"/>
                  </w:pPr>
                  <w:r>
                    <w:rPr>
                      <w:rFonts w:ascii="仿宋_GB2312" w:hAnsi="仿宋_GB2312" w:cs="仿宋_GB2312" w:eastAsia="仿宋_GB2312"/>
                      <w:sz w:val="21"/>
                      <w:color w:val="000000"/>
                    </w:rPr>
                    <w:t>（亩）</w:t>
                  </w:r>
                </w:p>
              </w:tc>
            </w:tr>
            <w:tr>
              <w:tc>
                <w:tcPr>
                  <w:tcW w:type="dxa" w:w="46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碑坝林场</w:t>
                  </w:r>
                </w:p>
              </w:tc>
              <w:tc>
                <w:tcPr>
                  <w:tcW w:type="dxa" w:w="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小计</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52</w:t>
                  </w:r>
                </w:p>
              </w:tc>
              <w:tc>
                <w:tcPr>
                  <w:tcW w:type="dxa" w:w="5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10360</w:t>
                  </w:r>
                </w:p>
              </w:tc>
              <w:tc>
                <w:tcPr>
                  <w:tcW w:type="dxa" w:w="7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10000</w:t>
                  </w:r>
                </w:p>
              </w:tc>
            </w:tr>
            <w:tr>
              <w:tc>
                <w:tcPr>
                  <w:tcW w:type="dxa" w:w="463"/>
                  <w:vMerge/>
                  <w:tcBorders>
                    <w:top w:val="none" w:color="000000" w:sz="4"/>
                    <w:left w:val="single" w:color="000000" w:sz="4"/>
                    <w:bottom w:val="non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41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14</w:t>
                  </w:r>
                </w:p>
              </w:tc>
              <w:tc>
                <w:tcPr>
                  <w:tcW w:type="dxa" w:w="5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3063</w:t>
                  </w:r>
                </w:p>
              </w:tc>
              <w:tc>
                <w:tcPr>
                  <w:tcW w:type="dxa" w:w="7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3000</w:t>
                  </w:r>
                </w:p>
              </w:tc>
            </w:tr>
            <w:tr>
              <w:tc>
                <w:tcPr>
                  <w:tcW w:type="dxa" w:w="463"/>
                  <w:vMerge/>
                  <w:tcBorders>
                    <w:top w:val="none" w:color="000000" w:sz="4"/>
                    <w:left w:val="single" w:color="000000" w:sz="4"/>
                    <w:bottom w:val="non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62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6</w:t>
                  </w:r>
                </w:p>
              </w:tc>
              <w:tc>
                <w:tcPr>
                  <w:tcW w:type="dxa" w:w="5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1066</w:t>
                  </w:r>
                </w:p>
              </w:tc>
              <w:tc>
                <w:tcPr>
                  <w:tcW w:type="dxa" w:w="7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1022</w:t>
                  </w:r>
                </w:p>
              </w:tc>
            </w:tr>
            <w:tr>
              <w:tc>
                <w:tcPr>
                  <w:tcW w:type="dxa" w:w="463"/>
                  <w:vMerge/>
                  <w:tcBorders>
                    <w:top w:val="none" w:color="000000" w:sz="4"/>
                    <w:left w:val="single" w:color="000000" w:sz="4"/>
                    <w:bottom w:val="non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63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7</w:t>
                  </w:r>
                </w:p>
              </w:tc>
              <w:tc>
                <w:tcPr>
                  <w:tcW w:type="dxa" w:w="5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1259</w:t>
                  </w:r>
                </w:p>
              </w:tc>
              <w:tc>
                <w:tcPr>
                  <w:tcW w:type="dxa" w:w="7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1206</w:t>
                  </w:r>
                </w:p>
              </w:tc>
            </w:tr>
            <w:tr>
              <w:tc>
                <w:tcPr>
                  <w:tcW w:type="dxa" w:w="463"/>
                  <w:vMerge/>
                  <w:tcBorders>
                    <w:top w:val="none" w:color="000000" w:sz="4"/>
                    <w:left w:val="single" w:color="000000" w:sz="4"/>
                    <w:bottom w:val="non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64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6</w:t>
                  </w:r>
                </w:p>
              </w:tc>
              <w:tc>
                <w:tcPr>
                  <w:tcW w:type="dxa" w:w="5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1311</w:t>
                  </w:r>
                </w:p>
              </w:tc>
              <w:tc>
                <w:tcPr>
                  <w:tcW w:type="dxa" w:w="7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1256</w:t>
                  </w:r>
                </w:p>
              </w:tc>
            </w:tr>
            <w:tr>
              <w:tc>
                <w:tcPr>
                  <w:tcW w:type="dxa" w:w="463"/>
                  <w:vMerge/>
                  <w:tcBorders>
                    <w:top w:val="none" w:color="000000" w:sz="4"/>
                    <w:left w:val="single" w:color="000000" w:sz="4"/>
                    <w:bottom w:val="non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65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19</w:t>
                  </w:r>
                </w:p>
              </w:tc>
              <w:tc>
                <w:tcPr>
                  <w:tcW w:type="dxa" w:w="5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3661</w:t>
                  </w:r>
                </w:p>
              </w:tc>
              <w:tc>
                <w:tcPr>
                  <w:tcW w:type="dxa" w:w="7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3516</w:t>
                  </w:r>
                </w:p>
              </w:tc>
            </w:tr>
          </w:tbl>
          <w:p>
            <w:pPr>
              <w:pStyle w:val="null3"/>
              <w:ind w:firstLine="420"/>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项目规模</w:t>
            </w:r>
          </w:p>
          <w:p>
            <w:pPr>
              <w:pStyle w:val="null3"/>
              <w:ind w:firstLine="420"/>
              <w:jc w:val="both"/>
            </w:pPr>
            <w:r>
              <w:rPr>
                <w:rFonts w:ascii="仿宋_GB2312" w:hAnsi="仿宋_GB2312" w:cs="仿宋_GB2312" w:eastAsia="仿宋_GB2312"/>
                <w:sz w:val="21"/>
                <w:color w:val="000000"/>
              </w:rPr>
              <w:t>2025年大巴山北麓和汉江谷地水土保持与水源涵养项目</w:t>
            </w:r>
            <w:r>
              <w:rPr>
                <w:rFonts w:ascii="仿宋_GB2312" w:hAnsi="仿宋_GB2312" w:cs="仿宋_GB2312" w:eastAsia="仿宋_GB2312"/>
                <w:sz w:val="21"/>
                <w:color w:val="000000"/>
              </w:rPr>
              <w:t>（</w:t>
            </w:r>
            <w:r>
              <w:rPr>
                <w:rFonts w:ascii="仿宋_GB2312" w:hAnsi="仿宋_GB2312" w:cs="仿宋_GB2312" w:eastAsia="仿宋_GB2312"/>
                <w:sz w:val="21"/>
                <w:color w:val="000000"/>
              </w:rPr>
              <w:t>碑坝林场</w:t>
            </w:r>
            <w:r>
              <w:rPr>
                <w:rFonts w:ascii="仿宋_GB2312" w:hAnsi="仿宋_GB2312" w:cs="仿宋_GB2312" w:eastAsia="仿宋_GB2312"/>
                <w:sz w:val="21"/>
                <w:color w:val="000000"/>
              </w:rPr>
              <w:t>退化林修复</w:t>
            </w:r>
            <w:r>
              <w:rPr>
                <w:rFonts w:ascii="仿宋_GB2312" w:hAnsi="仿宋_GB2312" w:cs="仿宋_GB2312" w:eastAsia="仿宋_GB2312"/>
                <w:sz w:val="21"/>
                <w:color w:val="000000"/>
              </w:rPr>
              <w:t>位于</w:t>
            </w:r>
            <w:r>
              <w:rPr>
                <w:rFonts w:ascii="仿宋_GB2312" w:hAnsi="仿宋_GB2312" w:cs="仿宋_GB2312" w:eastAsia="仿宋_GB2312"/>
                <w:sz w:val="21"/>
                <w:color w:val="000000"/>
              </w:rPr>
              <w:t>碑坝林场</w:t>
            </w:r>
            <w:r>
              <w:rPr>
                <w:rFonts w:ascii="仿宋_GB2312" w:hAnsi="仿宋_GB2312" w:cs="仿宋_GB2312" w:eastAsia="仿宋_GB2312"/>
                <w:sz w:val="21"/>
                <w:color w:val="000000"/>
              </w:rPr>
              <w:t>41林班、62林班、63林班、64林班、65林班</w:t>
            </w:r>
            <w:r>
              <w:rPr>
                <w:rFonts w:ascii="仿宋_GB2312" w:hAnsi="仿宋_GB2312" w:cs="仿宋_GB2312" w:eastAsia="仿宋_GB2312"/>
                <w:sz w:val="21"/>
                <w:color w:val="000000"/>
              </w:rPr>
              <w:t>，</w:t>
            </w:r>
            <w:r>
              <w:rPr>
                <w:rFonts w:ascii="仿宋_GB2312" w:hAnsi="仿宋_GB2312" w:cs="仿宋_GB2312" w:eastAsia="仿宋_GB2312"/>
                <w:sz w:val="21"/>
                <w:color w:val="000000"/>
              </w:rPr>
              <w:t>实施</w:t>
            </w:r>
            <w:r>
              <w:rPr>
                <w:rFonts w:ascii="仿宋_GB2312" w:hAnsi="仿宋_GB2312" w:cs="仿宋_GB2312" w:eastAsia="仿宋_GB2312"/>
                <w:sz w:val="21"/>
                <w:color w:val="000000"/>
              </w:rPr>
              <w:t>退化林修复面积为</w:t>
            </w:r>
            <w:r>
              <w:rPr>
                <w:rFonts w:ascii="仿宋_GB2312" w:hAnsi="仿宋_GB2312" w:cs="仿宋_GB2312" w:eastAsia="仿宋_GB2312"/>
                <w:sz w:val="21"/>
                <w:color w:val="000000"/>
              </w:rPr>
              <w:t>10000亩。</w:t>
            </w:r>
          </w:p>
          <w:p>
            <w:pPr>
              <w:pStyle w:val="null3"/>
              <w:ind w:firstLine="420"/>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、技术服务</w:t>
            </w:r>
            <w:r>
              <w:rPr>
                <w:rFonts w:ascii="仿宋_GB2312" w:hAnsi="仿宋_GB2312" w:cs="仿宋_GB2312" w:eastAsia="仿宋_GB2312"/>
                <w:sz w:val="21"/>
                <w:b/>
                <w:color w:val="000000"/>
              </w:rPr>
              <w:t>要求</w:t>
            </w:r>
          </w:p>
          <w:p>
            <w:pPr>
              <w:pStyle w:val="null3"/>
              <w:ind w:firstLine="420"/>
              <w:jc w:val="both"/>
            </w:pPr>
            <w:r>
              <w:rPr>
                <w:rFonts w:ascii="仿宋_GB2312" w:hAnsi="仿宋_GB2312" w:cs="仿宋_GB2312" w:eastAsia="仿宋_GB2312"/>
                <w:sz w:val="21"/>
                <w:color w:val="000000"/>
              </w:rPr>
              <w:t>3.1</w:t>
            </w:r>
            <w:r>
              <w:rPr>
                <w:rFonts w:ascii="仿宋_GB2312" w:hAnsi="仿宋_GB2312" w:cs="仿宋_GB2312" w:eastAsia="仿宋_GB2312"/>
                <w:sz w:val="21"/>
                <w:color w:val="000000"/>
              </w:rPr>
              <w:t>抚育方法</w:t>
            </w:r>
          </w:p>
          <w:p>
            <w:pPr>
              <w:pStyle w:val="null3"/>
              <w:ind w:firstLine="420"/>
              <w:jc w:val="both"/>
            </w:pPr>
            <w:r>
              <w:rPr>
                <w:rFonts w:ascii="仿宋_GB2312" w:hAnsi="仿宋_GB2312" w:cs="仿宋_GB2312" w:eastAsia="仿宋_GB2312"/>
                <w:sz w:val="21"/>
                <w:color w:val="000000"/>
              </w:rPr>
              <w:t>3.1.1退化林</w:t>
            </w:r>
            <w:r>
              <w:rPr>
                <w:rFonts w:ascii="仿宋_GB2312" w:hAnsi="仿宋_GB2312" w:cs="仿宋_GB2312" w:eastAsia="仿宋_GB2312"/>
                <w:sz w:val="21"/>
                <w:color w:val="000000"/>
              </w:rPr>
              <w:t>补植</w:t>
            </w:r>
            <w:r>
              <w:rPr>
                <w:rFonts w:ascii="仿宋_GB2312" w:hAnsi="仿宋_GB2312" w:cs="仿宋_GB2312" w:eastAsia="仿宋_GB2312"/>
                <w:sz w:val="21"/>
                <w:color w:val="000000"/>
              </w:rPr>
              <w:t>修复</w:t>
            </w:r>
          </w:p>
          <w:p>
            <w:pPr>
              <w:pStyle w:val="null3"/>
              <w:ind w:firstLine="420"/>
              <w:jc w:val="both"/>
            </w:pPr>
            <w:r>
              <w:rPr>
                <w:rFonts w:ascii="仿宋_GB2312" w:hAnsi="仿宋_GB2312" w:cs="仿宋_GB2312" w:eastAsia="仿宋_GB2312"/>
                <w:sz w:val="21"/>
                <w:color w:val="000000"/>
              </w:rPr>
              <w:t>因本次退化林修复方式为采伐</w:t>
            </w:r>
            <w:r>
              <w:rPr>
                <w:rFonts w:ascii="仿宋_GB2312" w:hAnsi="仿宋_GB2312" w:cs="仿宋_GB2312" w:eastAsia="仿宋_GB2312"/>
                <w:sz w:val="21"/>
                <w:color w:val="000000"/>
              </w:rPr>
              <w:t>+补植，除在现有林中空地及林木间隙进行补植外，还会在部分枯死木、干扰木及不良木的迹地设计补植，补植为7239亩，占碑坝林场修复总面积的72.39%。</w:t>
            </w:r>
          </w:p>
          <w:p>
            <w:pPr>
              <w:pStyle w:val="null3"/>
              <w:ind w:firstLine="420"/>
              <w:jc w:val="both"/>
            </w:pPr>
            <w:r>
              <w:rPr>
                <w:rFonts w:ascii="仿宋_GB2312" w:hAnsi="仿宋_GB2312" w:cs="仿宋_GB2312" w:eastAsia="仿宋_GB2312"/>
                <w:sz w:val="21"/>
                <w:color w:val="000000"/>
              </w:rPr>
              <w:t>补植采伐统计表</w:t>
            </w:r>
          </w:p>
          <w:tbl>
            <w:tblPr>
              <w:tblBorders>
                <w:top w:val="none" w:color="000000" w:sz="4"/>
                <w:left w:val="none" w:color="000000" w:sz="4"/>
                <w:bottom w:val="none" w:color="000000" w:sz="4"/>
                <w:right w:val="none" w:color="000000" w:sz="4"/>
                <w:insideH w:val="none"/>
                <w:insideV w:val="none"/>
              </w:tblBorders>
            </w:tblPr>
            <w:tblGrid>
              <w:gridCol w:w="380"/>
              <w:gridCol w:w="291"/>
              <w:gridCol w:w="447"/>
              <w:gridCol w:w="447"/>
              <w:gridCol w:w="447"/>
              <w:gridCol w:w="528"/>
            </w:tblGrid>
            <w:tr>
              <w:tc>
                <w:tcPr>
                  <w:tcW w:type="dxa" w:w="380"/>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林场</w:t>
                  </w:r>
                </w:p>
              </w:tc>
              <w:tc>
                <w:tcPr>
                  <w:tcW w:type="dxa" w:w="291"/>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林班</w:t>
                  </w:r>
                </w:p>
              </w:tc>
              <w:tc>
                <w:tcPr>
                  <w:tcW w:type="dxa" w:w="1341"/>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补</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植</w:t>
                  </w:r>
                </w:p>
              </w:tc>
              <w:tc>
                <w:tcPr>
                  <w:tcW w:type="dxa" w:w="528"/>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采</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伐（</w:t>
                  </w:r>
                  <w:r>
                    <w:rPr>
                      <w:rFonts w:ascii="仿宋_GB2312" w:hAnsi="仿宋_GB2312" w:cs="仿宋_GB2312" w:eastAsia="仿宋_GB2312"/>
                      <w:sz w:val="21"/>
                      <w:color w:val="000000"/>
                    </w:rPr>
                    <w:t>m3）</w:t>
                  </w:r>
                </w:p>
              </w:tc>
            </w:tr>
            <w:tr>
              <w:tc>
                <w:tcPr>
                  <w:tcW w:type="dxa" w:w="380"/>
                  <w:vMerge/>
                  <w:tcBorders>
                    <w:top w:val="single" w:color="000000" w:sz="4"/>
                    <w:left w:val="single" w:color="000000" w:sz="4"/>
                    <w:bottom w:val="none" w:color="000000" w:sz="4"/>
                    <w:right w:val="single" w:color="000000" w:sz="4"/>
                  </w:tcBorders>
                </w:tcPr>
                <w:p/>
              </w:tc>
              <w:tc>
                <w:tcPr>
                  <w:tcW w:type="dxa" w:w="291"/>
                  <w:vMerge/>
                  <w:tcBorders>
                    <w:top w:val="single" w:color="000000" w:sz="4"/>
                    <w:left w:val="none" w:color="000000" w:sz="4"/>
                    <w:bottom w:val="none" w:color="000000" w:sz="4"/>
                    <w:right w:val="single" w:color="000000" w:sz="4"/>
                  </w:tcBorders>
                </w:tcPr>
                <w:p/>
              </w:tc>
              <w:tc>
                <w:tcPr>
                  <w:tcW w:type="dxa" w:w="4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补植面积（亩）</w:t>
                  </w:r>
                </w:p>
              </w:tc>
              <w:tc>
                <w:tcPr>
                  <w:tcW w:type="dxa" w:w="44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云杉（株）</w:t>
                  </w:r>
                </w:p>
              </w:tc>
              <w:tc>
                <w:tcPr>
                  <w:tcW w:type="dxa" w:w="44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漆树（株）</w:t>
                  </w:r>
                </w:p>
              </w:tc>
              <w:tc>
                <w:tcPr>
                  <w:tcW w:type="dxa" w:w="528"/>
                  <w:vMerge/>
                  <w:tcBorders>
                    <w:top w:val="single" w:color="000000" w:sz="4"/>
                    <w:left w:val="none" w:color="000000" w:sz="4"/>
                    <w:bottom w:val="none" w:color="000000" w:sz="4"/>
                    <w:right w:val="single" w:color="000000" w:sz="4"/>
                  </w:tcBorders>
                </w:tcPr>
                <w:p/>
              </w:tc>
            </w:tr>
            <w:tr>
              <w:tc>
                <w:tcPr>
                  <w:tcW w:type="dxa" w:w="3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碑坝林场</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4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740</w:t>
                  </w:r>
                </w:p>
              </w:tc>
              <w:tc>
                <w:tcPr>
                  <w:tcW w:type="dxa" w:w="4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19338</w:t>
                  </w:r>
                </w:p>
              </w:tc>
              <w:tc>
                <w:tcPr>
                  <w:tcW w:type="dxa" w:w="4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9523</w:t>
                  </w:r>
                </w:p>
              </w:tc>
              <w:tc>
                <w:tcPr>
                  <w:tcW w:type="dxa" w:w="5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268</w:t>
                  </w:r>
                </w:p>
              </w:tc>
            </w:tr>
            <w:tr>
              <w:tc>
                <w:tcPr>
                  <w:tcW w:type="dxa" w:w="380"/>
                  <w:vMerge/>
                  <w:tcBorders>
                    <w:top w:val="none" w:color="000000" w:sz="4"/>
                    <w:left w:val="single" w:color="000000" w:sz="4"/>
                    <w:bottom w:val="single" w:color="000000" w:sz="4"/>
                    <w:right w:val="single" w:color="000000" w:sz="4"/>
                  </w:tcBorders>
                </w:tcP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874</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24572</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12443</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224</w:t>
                  </w:r>
                </w:p>
              </w:tc>
            </w:tr>
            <w:tr>
              <w:tc>
                <w:tcPr>
                  <w:tcW w:type="dxa" w:w="380"/>
                  <w:vMerge/>
                  <w:tcBorders>
                    <w:top w:val="none" w:color="000000" w:sz="4"/>
                    <w:left w:val="single" w:color="000000" w:sz="4"/>
                    <w:bottom w:val="single" w:color="000000" w:sz="4"/>
                    <w:right w:val="single" w:color="000000" w:sz="4"/>
                  </w:tcBorders>
                </w:tcP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913</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22887</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11274</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403</w:t>
                  </w:r>
                </w:p>
              </w:tc>
            </w:tr>
            <w:tr>
              <w:tc>
                <w:tcPr>
                  <w:tcW w:type="dxa" w:w="380"/>
                  <w:vMerge/>
                  <w:tcBorders>
                    <w:top w:val="none" w:color="000000" w:sz="4"/>
                    <w:left w:val="single" w:color="000000" w:sz="4"/>
                    <w:bottom w:val="single" w:color="000000" w:sz="4"/>
                    <w:right w:val="single" w:color="000000" w:sz="4"/>
                  </w:tcBorders>
                </w:tcP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2551</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65267</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32147</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1219</w:t>
                  </w:r>
                </w:p>
              </w:tc>
            </w:tr>
            <w:tr>
              <w:tc>
                <w:tcPr>
                  <w:tcW w:type="dxa" w:w="380"/>
                  <w:vMerge/>
                  <w:tcBorders>
                    <w:top w:val="none" w:color="000000" w:sz="4"/>
                    <w:left w:val="single" w:color="000000" w:sz="4"/>
                    <w:bottom w:val="single" w:color="000000" w:sz="4"/>
                    <w:right w:val="single" w:color="000000" w:sz="4"/>
                  </w:tcBorders>
                </w:tcP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2161</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59220</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29170</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637</w:t>
                  </w:r>
                </w:p>
              </w:tc>
            </w:tr>
          </w:tbl>
          <w:p>
            <w:pPr>
              <w:pStyle w:val="null3"/>
              <w:ind w:firstLine="400"/>
              <w:jc w:val="both"/>
            </w:pPr>
            <w:r>
              <w:rPr>
                <w:rFonts w:ascii="仿宋_GB2312" w:hAnsi="仿宋_GB2312" w:cs="仿宋_GB2312" w:eastAsia="仿宋_GB2312"/>
                <w:sz w:val="21"/>
                <w:color w:val="000000"/>
              </w:rPr>
              <w:t>本次退化林修复方式为采伐</w:t>
            </w:r>
            <w:r>
              <w:rPr>
                <w:rFonts w:ascii="仿宋_GB2312" w:hAnsi="仿宋_GB2312" w:cs="仿宋_GB2312" w:eastAsia="仿宋_GB2312"/>
                <w:sz w:val="21"/>
                <w:color w:val="000000"/>
              </w:rPr>
              <w:t>+补植，除在现有林中空地及林木间隙</w:t>
            </w:r>
            <w:r>
              <w:rPr>
                <w:rFonts w:ascii="仿宋_GB2312" w:hAnsi="仿宋_GB2312" w:cs="仿宋_GB2312" w:eastAsia="仿宋_GB2312"/>
                <w:sz w:val="21"/>
                <w:color w:val="000000"/>
              </w:rPr>
              <w:t>进行补植外，还会在部分枯死木、干扰木及不良木的迹地设计补植，补</w:t>
            </w:r>
            <w:r>
              <w:rPr>
                <w:rFonts w:ascii="仿宋_GB2312" w:hAnsi="仿宋_GB2312" w:cs="仿宋_GB2312" w:eastAsia="仿宋_GB2312"/>
                <w:sz w:val="21"/>
                <w:color w:val="000000"/>
              </w:rPr>
              <w:t>植为</w:t>
            </w:r>
            <w:r>
              <w:rPr>
                <w:rFonts w:ascii="仿宋_GB2312" w:hAnsi="仿宋_GB2312" w:cs="仿宋_GB2312" w:eastAsia="仿宋_GB2312"/>
                <w:sz w:val="21"/>
              </w:rPr>
              <w:t xml:space="preserve"> </w:t>
            </w:r>
            <w:r>
              <w:rPr>
                <w:rFonts w:ascii="仿宋_GB2312" w:hAnsi="仿宋_GB2312" w:cs="仿宋_GB2312" w:eastAsia="仿宋_GB2312"/>
                <w:sz w:val="21"/>
                <w:color w:val="000000"/>
              </w:rPr>
              <w:t>7239</w:t>
            </w:r>
            <w:r>
              <w:rPr>
                <w:rFonts w:ascii="仿宋_GB2312" w:hAnsi="仿宋_GB2312" w:cs="仿宋_GB2312" w:eastAsia="仿宋_GB2312"/>
                <w:sz w:val="21"/>
              </w:rPr>
              <w:t xml:space="preserve"> </w:t>
            </w:r>
            <w:r>
              <w:rPr>
                <w:rFonts w:ascii="仿宋_GB2312" w:hAnsi="仿宋_GB2312" w:cs="仿宋_GB2312" w:eastAsia="仿宋_GB2312"/>
                <w:sz w:val="21"/>
                <w:color w:val="000000"/>
              </w:rPr>
              <w:t>亩，</w:t>
            </w:r>
            <w:r>
              <w:rPr>
                <w:rFonts w:ascii="仿宋_GB2312" w:hAnsi="仿宋_GB2312" w:cs="仿宋_GB2312" w:eastAsia="仿宋_GB2312"/>
                <w:sz w:val="21"/>
              </w:rPr>
              <w:t xml:space="preserve"> </w:t>
            </w:r>
            <w:r>
              <w:rPr>
                <w:rFonts w:ascii="仿宋_GB2312" w:hAnsi="仿宋_GB2312" w:cs="仿宋_GB2312" w:eastAsia="仿宋_GB2312"/>
                <w:sz w:val="21"/>
                <w:color w:val="000000"/>
              </w:rPr>
              <w:t>占碑坝林场修复总面积的</w:t>
            </w:r>
            <w:r>
              <w:rPr>
                <w:rFonts w:ascii="仿宋_GB2312" w:hAnsi="仿宋_GB2312" w:cs="仿宋_GB2312" w:eastAsia="仿宋_GB2312"/>
                <w:sz w:val="21"/>
              </w:rPr>
              <w:t xml:space="preserve"> </w:t>
            </w:r>
            <w:r>
              <w:rPr>
                <w:rFonts w:ascii="仿宋_GB2312" w:hAnsi="仿宋_GB2312" w:cs="仿宋_GB2312" w:eastAsia="仿宋_GB2312"/>
                <w:sz w:val="21"/>
                <w:color w:val="000000"/>
              </w:rPr>
              <w:t>72.39%。</w:t>
            </w:r>
            <w:r>
              <w:rPr>
                <w:rFonts w:ascii="仿宋_GB2312" w:hAnsi="仿宋_GB2312" w:cs="仿宋_GB2312" w:eastAsia="仿宋_GB2312"/>
                <w:sz w:val="21"/>
                <w:color w:val="000000"/>
              </w:rPr>
              <w:t>依据《陕西省造林技术规范》（</w:t>
            </w:r>
            <w:r>
              <w:rPr>
                <w:rFonts w:ascii="仿宋_GB2312" w:hAnsi="仿宋_GB2312" w:cs="仿宋_GB2312" w:eastAsia="仿宋_GB2312"/>
                <w:sz w:val="21"/>
                <w:color w:val="000000"/>
              </w:rPr>
              <w:t>DB61/T142-2021）的有关技术规</w:t>
            </w:r>
          </w:p>
          <w:p>
            <w:pPr>
              <w:pStyle w:val="null3"/>
              <w:ind w:firstLine="420"/>
              <w:jc w:val="both"/>
            </w:pPr>
            <w:r>
              <w:rPr>
                <w:rFonts w:ascii="仿宋_GB2312" w:hAnsi="仿宋_GB2312" w:cs="仿宋_GB2312" w:eastAsia="仿宋_GB2312"/>
                <w:sz w:val="21"/>
                <w:color w:val="000000"/>
              </w:rPr>
              <w:t>定和造林苗木选择乡土树种、本土种源的要求，结合作业区立地条件及各树种的生物学特性，选择补植树种为云杉和漆树。</w:t>
            </w:r>
          </w:p>
          <w:p>
            <w:pPr>
              <w:pStyle w:val="null3"/>
              <w:ind w:firstLine="420"/>
              <w:jc w:val="both"/>
            </w:pPr>
            <w:r>
              <w:rPr>
                <w:rFonts w:ascii="仿宋_GB2312" w:hAnsi="仿宋_GB2312" w:cs="仿宋_GB2312" w:eastAsia="仿宋_GB2312"/>
                <w:sz w:val="21"/>
                <w:color w:val="000000"/>
              </w:rPr>
              <w:t>云杉和漆树均采用植苗的方式进行栽植。本次设计造林时间以</w:t>
            </w:r>
            <w:r>
              <w:rPr>
                <w:rFonts w:ascii="仿宋_GB2312" w:hAnsi="仿宋_GB2312" w:cs="仿宋_GB2312" w:eastAsia="仿宋_GB2312"/>
                <w:sz w:val="21"/>
                <w:color w:val="000000"/>
              </w:rPr>
              <w:t>春</w:t>
            </w:r>
            <w:r>
              <w:rPr>
                <w:rFonts w:ascii="仿宋_GB2312" w:hAnsi="仿宋_GB2312" w:cs="仿宋_GB2312" w:eastAsia="仿宋_GB2312"/>
                <w:sz w:val="21"/>
                <w:color w:val="000000"/>
              </w:rPr>
              <w:t>季造林为主。造林时间在</w:t>
            </w:r>
            <w:r>
              <w:rPr>
                <w:rFonts w:ascii="仿宋_GB2312" w:hAnsi="仿宋_GB2312" w:cs="仿宋_GB2312" w:eastAsia="仿宋_GB2312"/>
                <w:sz w:val="21"/>
                <w:color w:val="000000"/>
              </w:rPr>
              <w:t>3月中旬至萌芽前进行。</w:t>
            </w:r>
          </w:p>
          <w:p>
            <w:pPr>
              <w:pStyle w:val="null3"/>
              <w:ind w:firstLine="420"/>
              <w:jc w:val="both"/>
            </w:pPr>
            <w:r>
              <w:rPr>
                <w:rFonts w:ascii="仿宋_GB2312" w:hAnsi="仿宋_GB2312" w:cs="仿宋_GB2312" w:eastAsia="仿宋_GB2312"/>
                <w:sz w:val="21"/>
                <w:color w:val="000000"/>
              </w:rPr>
              <w:t>造林所需苗木，应随起随栽，组织流水作业，尽量缩短苗木根系暴露时间，如确需调运，应采取有效的保护措施，减少运输过程中苗木水分损失。对于苗木出圃后若不能及时栽植，需要进行假植，以防根系失水，失去生活力。</w:t>
            </w:r>
          </w:p>
          <w:p>
            <w:pPr>
              <w:pStyle w:val="null3"/>
              <w:ind w:firstLine="420"/>
              <w:jc w:val="both"/>
            </w:pPr>
            <w:r>
              <w:rPr>
                <w:rFonts w:ascii="仿宋_GB2312" w:hAnsi="仿宋_GB2312" w:cs="仿宋_GB2312" w:eastAsia="仿宋_GB2312"/>
                <w:sz w:val="21"/>
                <w:color w:val="000000"/>
              </w:rPr>
              <w:t>栽植时要严格按照</w:t>
            </w:r>
            <w:r>
              <w:rPr>
                <w:rFonts w:ascii="仿宋_GB2312" w:hAnsi="仿宋_GB2312" w:cs="仿宋_GB2312" w:eastAsia="仿宋_GB2312"/>
                <w:sz w:val="21"/>
                <w:color w:val="000000"/>
              </w:rPr>
              <w:t>“一垫、二提、三埋、四踩”的要求做到栽端扶正，根系舒展，深浅适当，不可窝根或露根。表土回填，分层踩实，并修筑蓄水盘，有条件的地块栽后立即灌足定根水，待水下渗后覆土保墒。</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栽植点配置</w:t>
            </w:r>
          </w:p>
          <w:p>
            <w:pPr>
              <w:pStyle w:val="null3"/>
              <w:ind w:firstLine="420"/>
              <w:jc w:val="both"/>
            </w:pPr>
            <w:r>
              <w:rPr>
                <w:rFonts w:ascii="仿宋_GB2312" w:hAnsi="仿宋_GB2312" w:cs="仿宋_GB2312" w:eastAsia="仿宋_GB2312"/>
                <w:sz w:val="21"/>
                <w:color w:val="000000"/>
              </w:rPr>
              <w:t>栽植点一般采用三角形配置。在地形破碎、地形变化复杂的地方，栽植点的位置应灵活掌握，不拘泥于株行距的规定。对造林地上保存的现有幼苗幼树及天然乔木，施工时应予以保留、保护，并实施松土除草等抚育措施。</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）补植密度</w:t>
            </w:r>
          </w:p>
          <w:p>
            <w:pPr>
              <w:pStyle w:val="null3"/>
              <w:ind w:firstLine="420"/>
              <w:jc w:val="both"/>
            </w:pPr>
            <w:r>
              <w:rPr>
                <w:rFonts w:ascii="仿宋_GB2312" w:hAnsi="仿宋_GB2312" w:cs="仿宋_GB2312" w:eastAsia="仿宋_GB2312"/>
                <w:sz w:val="21"/>
                <w:color w:val="000000"/>
              </w:rPr>
              <w:t>根据《陕西省造林技术规范》（</w:t>
            </w:r>
            <w:r>
              <w:rPr>
                <w:rFonts w:ascii="仿宋_GB2312" w:hAnsi="仿宋_GB2312" w:cs="仿宋_GB2312" w:eastAsia="仿宋_GB2312"/>
                <w:sz w:val="21"/>
                <w:color w:val="000000"/>
              </w:rPr>
              <w:t>DB61/T142-2021）及防护林工程建设的相关要求，结合项目区立地条件及各树种的生物学特性，以及现有的林木株数，确定云杉和漆树补植密度为30～40株/亩，株行距4米×5米，实际施工时可根据现状灵活掌握，但要确保单位面积内的补植数量。</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）成活率的调查与补植</w:t>
            </w:r>
          </w:p>
          <w:p>
            <w:pPr>
              <w:pStyle w:val="null3"/>
              <w:ind w:firstLine="420"/>
              <w:jc w:val="both"/>
            </w:pPr>
            <w:r>
              <w:rPr>
                <w:rFonts w:ascii="仿宋_GB2312" w:hAnsi="仿宋_GB2312" w:cs="仿宋_GB2312" w:eastAsia="仿宋_GB2312"/>
                <w:sz w:val="21"/>
                <w:color w:val="000000"/>
              </w:rPr>
              <w:t>成活率调查应在新造幼林经过一个生长季节后进行，秋季造林成活率调查时间在第二年秋季进行。调查方法是在当年所有造林小班内选设具有代表性的标准地，分别计数成活与死亡株数。调查结果分别按成活率</w:t>
            </w:r>
            <w:r>
              <w:rPr>
                <w:rFonts w:ascii="仿宋_GB2312" w:hAnsi="仿宋_GB2312" w:cs="仿宋_GB2312" w:eastAsia="仿宋_GB2312"/>
                <w:sz w:val="21"/>
                <w:color w:val="000000"/>
              </w:rPr>
              <w:t>85%以上、41%～85%、41%以下三级统计。成活率在41%以下的必须重新造林，成活率在41%～84%的按初植密度必须及时进行补植。</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）幼林抚育</w:t>
            </w:r>
          </w:p>
          <w:p>
            <w:pPr>
              <w:pStyle w:val="null3"/>
              <w:ind w:firstLine="420"/>
              <w:jc w:val="both"/>
            </w:pPr>
            <w:r>
              <w:rPr>
                <w:rFonts w:ascii="仿宋_GB2312" w:hAnsi="仿宋_GB2312" w:cs="仿宋_GB2312" w:eastAsia="仿宋_GB2312"/>
                <w:sz w:val="21"/>
                <w:color w:val="000000"/>
              </w:rPr>
              <w:t>抚育是指在造林后至郁闭前这一段时间里所进行的各种抚育技术措施，给幼树创造一个良好的生长空间，造林后</w:t>
            </w:r>
            <w:r>
              <w:rPr>
                <w:rFonts w:ascii="仿宋_GB2312" w:hAnsi="仿宋_GB2312" w:cs="仿宋_GB2312" w:eastAsia="仿宋_GB2312"/>
                <w:sz w:val="21"/>
                <w:color w:val="000000"/>
              </w:rPr>
              <w:t>3年内抚育</w:t>
            </w:r>
            <w:r>
              <w:rPr>
                <w:rFonts w:ascii="仿宋_GB2312" w:hAnsi="仿宋_GB2312" w:cs="仿宋_GB2312" w:eastAsia="仿宋_GB2312"/>
                <w:sz w:val="21"/>
                <w:color w:val="000000"/>
              </w:rPr>
              <w:t>3-</w:t>
            </w:r>
            <w:r>
              <w:rPr>
                <w:rFonts w:ascii="仿宋_GB2312" w:hAnsi="仿宋_GB2312" w:cs="仿宋_GB2312" w:eastAsia="仿宋_GB2312"/>
                <w:sz w:val="21"/>
                <w:color w:val="000000"/>
              </w:rPr>
              <w:t>5次</w:t>
            </w:r>
            <w:r>
              <w:rPr>
                <w:rFonts w:ascii="仿宋_GB2312" w:hAnsi="仿宋_GB2312" w:cs="仿宋_GB2312" w:eastAsia="仿宋_GB2312"/>
                <w:sz w:val="21"/>
                <w:color w:val="000000"/>
              </w:rPr>
              <w:t>（</w:t>
            </w:r>
            <w:r>
              <w:rPr>
                <w:rFonts w:ascii="仿宋_GB2312" w:hAnsi="仿宋_GB2312" w:cs="仿宋_GB2312" w:eastAsia="仿宋_GB2312"/>
                <w:sz w:val="21"/>
                <w:color w:val="000000"/>
              </w:rPr>
              <w:t>根据具体情况</w:t>
            </w:r>
            <w:r>
              <w:rPr>
                <w:rFonts w:ascii="仿宋_GB2312" w:hAnsi="仿宋_GB2312" w:cs="仿宋_GB2312" w:eastAsia="仿宋_GB2312"/>
                <w:sz w:val="21"/>
                <w:color w:val="000000"/>
              </w:rPr>
              <w:t>）</w:t>
            </w:r>
            <w:r>
              <w:rPr>
                <w:rFonts w:ascii="仿宋_GB2312" w:hAnsi="仿宋_GB2312" w:cs="仿宋_GB2312" w:eastAsia="仿宋_GB2312"/>
                <w:sz w:val="21"/>
                <w:color w:val="000000"/>
              </w:rPr>
              <w:t>，时间为每年的</w:t>
            </w:r>
            <w:r>
              <w:rPr>
                <w:rFonts w:ascii="仿宋_GB2312" w:hAnsi="仿宋_GB2312" w:cs="仿宋_GB2312" w:eastAsia="仿宋_GB2312"/>
                <w:sz w:val="21"/>
                <w:color w:val="000000"/>
              </w:rPr>
              <w:t>5月-8月，主要作业内容：除草砍灌、整枝、林业有害生物防治等。除草砍灌，幼树周围1.5-2米范围内杂草藤灌清除，并把除掉的杂草覆盖到树根附近，以增加土壤有机质，减少水分蒸发；除萌整枝，主要是清除幼树徒长枝、枯死枝，保持幼树主干优势；有害生物防治主要是发现病、虫、鼠、兔等林业有害生物要及时进行防治。</w:t>
            </w:r>
          </w:p>
          <w:p>
            <w:pPr>
              <w:pStyle w:val="null3"/>
              <w:ind w:firstLine="420"/>
              <w:jc w:val="both"/>
            </w:pPr>
            <w:r>
              <w:rPr>
                <w:rFonts w:ascii="仿宋_GB2312" w:hAnsi="仿宋_GB2312" w:cs="仿宋_GB2312" w:eastAsia="仿宋_GB2312"/>
                <w:sz w:val="21"/>
                <w:color w:val="000000"/>
              </w:rPr>
              <w:t>依据《陕西省造林技术规范》（</w:t>
            </w:r>
            <w:r>
              <w:rPr>
                <w:rFonts w:ascii="仿宋_GB2312" w:hAnsi="仿宋_GB2312" w:cs="仿宋_GB2312" w:eastAsia="仿宋_GB2312"/>
                <w:sz w:val="21"/>
                <w:color w:val="000000"/>
              </w:rPr>
              <w:t>DB61/T142-2021）的有关技术规定，本次造林苗木选择本地自产苗木，良种苗为云杉、漆树，结合作业区立地条件及各树种的生物学特性，确定碑坝林场补植树种为云杉和漆树混交比例为2:1。进场苗木必须是充分木质化，经检疫无病虫害，无失水现象，无腐烂发霉现象，无机械损伤的苗木，且具备“两证一签”（苗木检验证、苗木检疫证、苗木产地标签），苗木档案资料中须提供良种证明，苗木良种使用率要达到75%以上。</w:t>
            </w:r>
          </w:p>
          <w:p>
            <w:pPr>
              <w:pStyle w:val="null3"/>
              <w:ind w:firstLine="420"/>
              <w:jc w:val="both"/>
            </w:pPr>
            <w:r>
              <w:rPr>
                <w:rFonts w:ascii="仿宋_GB2312" w:hAnsi="仿宋_GB2312" w:cs="仿宋_GB2312" w:eastAsia="仿宋_GB2312"/>
                <w:sz w:val="21"/>
                <w:color w:val="000000"/>
              </w:rPr>
              <w:t>本次补植云杉苗木选用</w:t>
            </w:r>
            <w:r>
              <w:rPr>
                <w:rFonts w:ascii="仿宋_GB2312" w:hAnsi="仿宋_GB2312" w:cs="仿宋_GB2312" w:eastAsia="仿宋_GB2312"/>
                <w:sz w:val="21"/>
                <w:color w:val="000000"/>
              </w:rPr>
              <w:t>5年生以上容器苗，地径0.6厘米以上，苗高25厘米以上，顶芽饱满，无损伤的Ⅰ级苗木；漆树苗木选用1年生以上播种苗，地径1.0厘米以上，苗高90厘米以上，苗木充分木质化，顶芽饱满，无损伤的Ⅰ级苗木。</w:t>
            </w:r>
          </w:p>
          <w:tbl>
            <w:tblPr>
              <w:tblBorders>
                <w:top w:val="none" w:color="000000" w:sz="4"/>
                <w:left w:val="none" w:color="000000" w:sz="4"/>
                <w:bottom w:val="none" w:color="000000" w:sz="4"/>
                <w:right w:val="none" w:color="000000" w:sz="4"/>
                <w:insideH w:val="none"/>
                <w:insideV w:val="none"/>
              </w:tblBorders>
            </w:tblPr>
            <w:tblGrid>
              <w:gridCol w:w="585"/>
              <w:gridCol w:w="334"/>
              <w:gridCol w:w="316"/>
              <w:gridCol w:w="316"/>
              <w:gridCol w:w="290"/>
              <w:gridCol w:w="699"/>
            </w:tblGrid>
            <w:tr>
              <w:tc>
                <w:tcPr>
                  <w:tcW w:type="dxa" w:w="585"/>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树种</w:t>
                  </w:r>
                </w:p>
              </w:tc>
              <w:tc>
                <w:tcPr>
                  <w:tcW w:type="dxa" w:w="334"/>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苗木种类</w:t>
                  </w:r>
                </w:p>
              </w:tc>
              <w:tc>
                <w:tcPr>
                  <w:tcW w:type="dxa" w:w="922"/>
                  <w:gridSpan w:val="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规格</w:t>
                  </w:r>
                </w:p>
              </w:tc>
              <w:tc>
                <w:tcPr>
                  <w:tcW w:type="dxa" w:w="699"/>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综合</w:t>
                  </w:r>
                </w:p>
                <w:p>
                  <w:pPr>
                    <w:pStyle w:val="null3"/>
                    <w:jc w:val="center"/>
                  </w:pPr>
                  <w:r>
                    <w:rPr>
                      <w:rFonts w:ascii="仿宋_GB2312" w:hAnsi="仿宋_GB2312" w:cs="仿宋_GB2312" w:eastAsia="仿宋_GB2312"/>
                      <w:sz w:val="21"/>
                      <w:color w:val="000000"/>
                    </w:rPr>
                    <w:t>控制指标</w:t>
                  </w:r>
                </w:p>
              </w:tc>
            </w:tr>
            <w:tr>
              <w:tc>
                <w:tcPr>
                  <w:tcW w:type="dxa" w:w="585"/>
                  <w:vMerge/>
                  <w:tcBorders>
                    <w:top w:val="single" w:color="000000" w:sz="4"/>
                    <w:left w:val="single" w:color="000000" w:sz="4"/>
                    <w:bottom w:val="none" w:color="000000" w:sz="4"/>
                    <w:right w:val="single" w:color="000000" w:sz="4"/>
                  </w:tcBorders>
                </w:tcPr>
                <w:p/>
              </w:tc>
              <w:tc>
                <w:tcPr>
                  <w:tcW w:type="dxa" w:w="334"/>
                  <w:vMerge/>
                  <w:tcBorders>
                    <w:top w:val="single" w:color="000000" w:sz="4"/>
                    <w:left w:val="single" w:color="000000" w:sz="4"/>
                    <w:bottom w:val="none" w:color="000000" w:sz="4"/>
                    <w:right w:val="single" w:color="000000" w:sz="4"/>
                  </w:tcBorders>
                </w:tcPr>
                <w:p/>
              </w:tc>
              <w:tc>
                <w:tcPr>
                  <w:tcW w:type="dxa" w:w="3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苗龄</w:t>
                  </w:r>
                </w:p>
              </w:tc>
              <w:tc>
                <w:tcPr>
                  <w:tcW w:type="dxa" w:w="3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地径（</w:t>
                  </w:r>
                  <w:r>
                    <w:rPr>
                      <w:rFonts w:ascii="仿宋_GB2312" w:hAnsi="仿宋_GB2312" w:cs="仿宋_GB2312" w:eastAsia="仿宋_GB2312"/>
                      <w:sz w:val="21"/>
                      <w:color w:val="000000"/>
                    </w:rPr>
                    <w:t>cm)</w:t>
                  </w:r>
                </w:p>
              </w:tc>
              <w:tc>
                <w:tcPr>
                  <w:tcW w:type="dxa" w:w="2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苗高（</w:t>
                  </w:r>
                  <w:r>
                    <w:rPr>
                      <w:rFonts w:ascii="仿宋_GB2312" w:hAnsi="仿宋_GB2312" w:cs="仿宋_GB2312" w:eastAsia="仿宋_GB2312"/>
                      <w:sz w:val="21"/>
                      <w:color w:val="000000"/>
                    </w:rPr>
                    <w:t>cm)</w:t>
                  </w:r>
                </w:p>
              </w:tc>
              <w:tc>
                <w:tcPr>
                  <w:tcW w:type="dxa" w:w="699"/>
                  <w:vMerge/>
                  <w:tcBorders>
                    <w:top w:val="single" w:color="000000" w:sz="4"/>
                    <w:left w:val="single" w:color="000000" w:sz="4"/>
                    <w:bottom w:val="none" w:color="000000" w:sz="4"/>
                    <w:right w:val="single" w:color="000000" w:sz="4"/>
                  </w:tcBorders>
                </w:tcPr>
                <w:p/>
              </w:tc>
            </w:tr>
            <w:tr>
              <w:tc>
                <w:tcPr>
                  <w:tcW w:type="dxa" w:w="5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云杉</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容器苗</w:t>
                  </w:r>
                </w:p>
              </w:tc>
              <w:tc>
                <w:tcPr>
                  <w:tcW w:type="dxa" w:w="3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≥5</w:t>
                  </w:r>
                </w:p>
              </w:tc>
              <w:tc>
                <w:tcPr>
                  <w:tcW w:type="dxa" w:w="3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&gt;0.6</w:t>
                  </w:r>
                </w:p>
              </w:tc>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&gt;25</w:t>
                  </w:r>
                </w:p>
              </w:tc>
              <w:tc>
                <w:tcPr>
                  <w:tcW w:type="dxa" w:w="6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充分木质化</w:t>
                  </w:r>
                </w:p>
              </w:tc>
            </w:tr>
            <w:tr>
              <w:tc>
                <w:tcPr>
                  <w:tcW w:type="dxa" w:w="5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漆树</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播种苗</w:t>
                  </w:r>
                </w:p>
              </w:tc>
              <w:tc>
                <w:tcPr>
                  <w:tcW w:type="dxa" w:w="3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3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&gt;1.0</w:t>
                  </w:r>
                </w:p>
              </w:tc>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&gt;90</w:t>
                  </w:r>
                </w:p>
              </w:tc>
              <w:tc>
                <w:tcPr>
                  <w:tcW w:type="dxa" w:w="6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充分木质化</w:t>
                  </w:r>
                </w:p>
              </w:tc>
            </w:tr>
          </w:tbl>
          <w:p>
            <w:pPr>
              <w:pStyle w:val="null3"/>
              <w:ind w:firstLine="420"/>
              <w:jc w:val="both"/>
            </w:pPr>
            <w:r>
              <w:rPr>
                <w:rFonts w:ascii="仿宋_GB2312" w:hAnsi="仿宋_GB2312" w:cs="仿宋_GB2312" w:eastAsia="仿宋_GB2312"/>
                <w:sz w:val="21"/>
                <w:color w:val="000000"/>
              </w:rPr>
              <w:t>项目补植共需苗木</w:t>
            </w:r>
            <w:r>
              <w:rPr>
                <w:rFonts w:ascii="仿宋_GB2312" w:hAnsi="仿宋_GB2312" w:cs="仿宋_GB2312" w:eastAsia="仿宋_GB2312"/>
                <w:sz w:val="21"/>
                <w:color w:val="000000"/>
              </w:rPr>
              <w:t>285841株（含15%的补植），其中云杉191284株、漆树94557株。</w:t>
            </w:r>
          </w:p>
          <w:p>
            <w:pPr>
              <w:pStyle w:val="null3"/>
              <w:ind w:firstLine="420"/>
              <w:jc w:val="both"/>
            </w:pPr>
            <w:r>
              <w:rPr>
                <w:rFonts w:ascii="仿宋_GB2312" w:hAnsi="仿宋_GB2312" w:cs="仿宋_GB2312" w:eastAsia="仿宋_GB2312"/>
                <w:sz w:val="21"/>
                <w:b/>
                <w:color w:val="000000"/>
              </w:rPr>
              <w:t>4、</w:t>
            </w:r>
            <w:r>
              <w:rPr>
                <w:rFonts w:ascii="仿宋_GB2312" w:hAnsi="仿宋_GB2312" w:cs="仿宋_GB2312" w:eastAsia="仿宋_GB2312"/>
                <w:sz w:val="21"/>
                <w:b/>
                <w:color w:val="000000"/>
              </w:rPr>
              <w:t>采伐</w:t>
            </w:r>
          </w:p>
          <w:p>
            <w:pPr>
              <w:pStyle w:val="null3"/>
              <w:ind w:firstLine="420"/>
              <w:jc w:val="both"/>
            </w:pPr>
            <w:r>
              <w:rPr>
                <w:rFonts w:ascii="仿宋_GB2312" w:hAnsi="仿宋_GB2312" w:cs="仿宋_GB2312" w:eastAsia="仿宋_GB2312"/>
                <w:sz w:val="21"/>
                <w:color w:val="000000"/>
              </w:rPr>
              <w:t>4.1</w:t>
            </w:r>
            <w:r>
              <w:rPr>
                <w:rFonts w:ascii="仿宋_GB2312" w:hAnsi="仿宋_GB2312" w:cs="仿宋_GB2312" w:eastAsia="仿宋_GB2312"/>
                <w:sz w:val="21"/>
                <w:color w:val="000000"/>
              </w:rPr>
              <w:t>采伐对象</w:t>
            </w:r>
          </w:p>
          <w:p>
            <w:pPr>
              <w:pStyle w:val="null3"/>
              <w:ind w:firstLine="420"/>
              <w:jc w:val="both"/>
            </w:pPr>
            <w:r>
              <w:rPr>
                <w:rFonts w:ascii="仿宋_GB2312" w:hAnsi="仿宋_GB2312" w:cs="仿宋_GB2312" w:eastAsia="仿宋_GB2312"/>
                <w:sz w:val="21"/>
                <w:color w:val="000000"/>
              </w:rPr>
              <w:t>一是对林内生长不良木和非目的树种进行间伐；二是将生长减弱的病害木、濒死木、枯死木、断头木等无培养前途的个体进行清除，并为补植修复腾出林地空间，进一步提高目的树种在林分中的所占比例，充分利用林地潜力，实现林地连续覆盖，提高森林质量和生产力。</w:t>
            </w:r>
          </w:p>
          <w:p>
            <w:pPr>
              <w:pStyle w:val="null3"/>
              <w:ind w:firstLine="420"/>
              <w:jc w:val="both"/>
            </w:pPr>
            <w:r>
              <w:rPr>
                <w:rFonts w:ascii="仿宋_GB2312" w:hAnsi="仿宋_GB2312" w:cs="仿宋_GB2312" w:eastAsia="仿宋_GB2312"/>
                <w:sz w:val="21"/>
                <w:color w:val="000000"/>
              </w:rPr>
              <w:t>4.2</w:t>
            </w:r>
            <w:r>
              <w:rPr>
                <w:rFonts w:ascii="仿宋_GB2312" w:hAnsi="仿宋_GB2312" w:cs="仿宋_GB2312" w:eastAsia="仿宋_GB2312"/>
                <w:sz w:val="21"/>
                <w:color w:val="000000"/>
              </w:rPr>
              <w:t>采伐强度</w:t>
            </w:r>
          </w:p>
          <w:p>
            <w:pPr>
              <w:pStyle w:val="null3"/>
              <w:ind w:firstLine="420"/>
              <w:jc w:val="both"/>
            </w:pPr>
            <w:r>
              <w:rPr>
                <w:rFonts w:ascii="仿宋_GB2312" w:hAnsi="仿宋_GB2312" w:cs="仿宋_GB2312" w:eastAsia="仿宋_GB2312"/>
                <w:sz w:val="21"/>
                <w:color w:val="000000"/>
              </w:rPr>
              <w:t>株数强度：</w:t>
            </w:r>
            <w:r>
              <w:rPr>
                <w:rFonts w:ascii="仿宋_GB2312" w:hAnsi="仿宋_GB2312" w:cs="仿宋_GB2312" w:eastAsia="仿宋_GB2312"/>
                <w:sz w:val="21"/>
                <w:color w:val="000000"/>
              </w:rPr>
              <w:t>14%～20%</w:t>
            </w:r>
          </w:p>
          <w:p>
            <w:pPr>
              <w:pStyle w:val="null3"/>
              <w:ind w:firstLine="420"/>
              <w:jc w:val="both"/>
            </w:pPr>
            <w:r>
              <w:rPr>
                <w:rFonts w:ascii="仿宋_GB2312" w:hAnsi="仿宋_GB2312" w:cs="仿宋_GB2312" w:eastAsia="仿宋_GB2312"/>
                <w:sz w:val="21"/>
                <w:color w:val="000000"/>
              </w:rPr>
              <w:t>蓄积强度：</w:t>
            </w:r>
            <w:r>
              <w:rPr>
                <w:rFonts w:ascii="仿宋_GB2312" w:hAnsi="仿宋_GB2312" w:cs="仿宋_GB2312" w:eastAsia="仿宋_GB2312"/>
                <w:sz w:val="21"/>
                <w:color w:val="000000"/>
              </w:rPr>
              <w:t>10%～15%</w:t>
            </w:r>
          </w:p>
          <w:p>
            <w:pPr>
              <w:pStyle w:val="null3"/>
              <w:ind w:firstLine="420"/>
              <w:jc w:val="both"/>
            </w:pPr>
            <w:r>
              <w:rPr>
                <w:rFonts w:ascii="仿宋_GB2312" w:hAnsi="仿宋_GB2312" w:cs="仿宋_GB2312" w:eastAsia="仿宋_GB2312"/>
                <w:sz w:val="21"/>
                <w:color w:val="000000"/>
              </w:rPr>
              <w:t>4.3</w:t>
            </w:r>
            <w:r>
              <w:rPr>
                <w:rFonts w:ascii="仿宋_GB2312" w:hAnsi="仿宋_GB2312" w:cs="仿宋_GB2312" w:eastAsia="仿宋_GB2312"/>
                <w:sz w:val="21"/>
                <w:color w:val="000000"/>
              </w:rPr>
              <w:t>采伐蓄积</w:t>
            </w:r>
          </w:p>
          <w:p>
            <w:pPr>
              <w:pStyle w:val="null3"/>
              <w:ind w:firstLine="420"/>
              <w:jc w:val="both"/>
            </w:pPr>
            <w:r>
              <w:rPr>
                <w:rFonts w:ascii="仿宋_GB2312" w:hAnsi="仿宋_GB2312" w:cs="仿宋_GB2312" w:eastAsia="仿宋_GB2312"/>
                <w:sz w:val="21"/>
                <w:color w:val="000000"/>
              </w:rPr>
              <w:t>共采伐蓄积</w:t>
            </w:r>
            <w:r>
              <w:rPr>
                <w:rFonts w:ascii="仿宋_GB2312" w:hAnsi="仿宋_GB2312" w:cs="仿宋_GB2312" w:eastAsia="仿宋_GB2312"/>
                <w:sz w:val="21"/>
                <w:color w:val="000000"/>
              </w:rPr>
              <w:t>2751立方米，因采伐对象为枯死木、不良木和干扰木等，故无商品材产出。</w:t>
            </w:r>
          </w:p>
          <w:p>
            <w:pPr>
              <w:pStyle w:val="null3"/>
              <w:ind w:firstLine="420"/>
              <w:jc w:val="both"/>
            </w:pPr>
            <w:r>
              <w:rPr>
                <w:rFonts w:ascii="仿宋_GB2312" w:hAnsi="仿宋_GB2312" w:cs="仿宋_GB2312" w:eastAsia="仿宋_GB2312"/>
                <w:sz w:val="21"/>
                <w:color w:val="000000"/>
              </w:rPr>
              <w:t>4.4</w:t>
            </w:r>
            <w:r>
              <w:rPr>
                <w:rFonts w:ascii="仿宋_GB2312" w:hAnsi="仿宋_GB2312" w:cs="仿宋_GB2312" w:eastAsia="仿宋_GB2312"/>
                <w:sz w:val="21"/>
                <w:color w:val="000000"/>
              </w:rPr>
              <w:t>作业流程</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采伐许可证办理－公示－标界－打号－采伐</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作业小班标界：施工技术人员按照设计图纸沿周界采用打桩或用红漆在固定物标注等形式确定施工作业小班的周界。</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采伐木打号：施工单位按照作业设计确定的各小班采伐强度，组织经培训过的技术人员逐小班每木检尺确定采伐木，打号员用红油漆对采伐木进行打号进行蓄积量计算和公示。确定保留木时要根据地形、林木的疏密程度等因素灵活掌握，忌死搬硬套，一定要注意保留林缘木、边界木和孤立木。</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采伐：确定并标记伐木顺序和作业小班总的树倒方向。作业人员要认真观察被伐木树冠形状、树干是否腐朽、倾斜、弯曲，风向和风力，判断树木的自然倒向，根据上述诸因素和周围其他树木的位置，有无挂枝、枯枝和其他危险因素，正确选定树木伐倒方向。应尽量降低伐根高度，伐根高度不大于</w:t>
            </w:r>
            <w:r>
              <w:rPr>
                <w:rFonts w:ascii="仿宋_GB2312" w:hAnsi="仿宋_GB2312" w:cs="仿宋_GB2312" w:eastAsia="仿宋_GB2312"/>
                <w:sz w:val="21"/>
                <w:color w:val="000000"/>
              </w:rPr>
              <w:t>5厘米，禁用斧头伐树。提高伐木技术，防止劈裂、搭挂，减少木材损失。</w:t>
            </w:r>
          </w:p>
          <w:p>
            <w:pPr>
              <w:pStyle w:val="null3"/>
              <w:ind w:firstLine="420"/>
              <w:jc w:val="both"/>
            </w:pPr>
            <w:r>
              <w:rPr>
                <w:rFonts w:ascii="仿宋_GB2312" w:hAnsi="仿宋_GB2312" w:cs="仿宋_GB2312" w:eastAsia="仿宋_GB2312"/>
                <w:sz w:val="21"/>
                <w:b/>
                <w:color w:val="000000"/>
              </w:rPr>
              <w:t>5</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生产作业</w:t>
            </w:r>
          </w:p>
          <w:p>
            <w:pPr>
              <w:pStyle w:val="null3"/>
              <w:ind w:firstLine="420"/>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生产作业</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退化林修复</w:t>
            </w:r>
            <w:r>
              <w:rPr>
                <w:rFonts w:ascii="仿宋_GB2312" w:hAnsi="仿宋_GB2312" w:cs="仿宋_GB2312" w:eastAsia="仿宋_GB2312"/>
                <w:sz w:val="21"/>
                <w:color w:val="000000"/>
              </w:rPr>
              <w:t>作业小班周界标定：在指定作业小班区域后，施工技术人员按照设计图纸沿周界采用打桩或用红漆标注等形式确定施工作业小班的周界，使准确率达到</w:t>
            </w:r>
            <w:r>
              <w:rPr>
                <w:rFonts w:ascii="仿宋_GB2312" w:hAnsi="仿宋_GB2312" w:cs="仿宋_GB2312" w:eastAsia="仿宋_GB2312"/>
                <w:sz w:val="21"/>
                <w:color w:val="000000"/>
              </w:rPr>
              <w:t>100%。</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2）打号：</w:t>
            </w:r>
            <w:r>
              <w:rPr>
                <w:rFonts w:ascii="仿宋_GB2312" w:hAnsi="仿宋_GB2312" w:cs="仿宋_GB2312" w:eastAsia="仿宋_GB2312"/>
                <w:sz w:val="21"/>
                <w:color w:val="000000"/>
              </w:rPr>
              <w:t>采伐</w:t>
            </w:r>
            <w:r>
              <w:rPr>
                <w:rFonts w:ascii="仿宋_GB2312" w:hAnsi="仿宋_GB2312" w:cs="仿宋_GB2312" w:eastAsia="仿宋_GB2312"/>
                <w:sz w:val="21"/>
                <w:color w:val="000000"/>
              </w:rPr>
              <w:t>作业前，打号员应根据作业设计，用红油漆对采伐木进行打号。</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采伐</w:t>
            </w:r>
            <w:r>
              <w:rPr>
                <w:rFonts w:ascii="仿宋_GB2312" w:hAnsi="仿宋_GB2312" w:cs="仿宋_GB2312" w:eastAsia="仿宋_GB2312"/>
                <w:sz w:val="21"/>
                <w:color w:val="000000"/>
              </w:rPr>
              <w:t>：伐木作业人员要认真观察被伐木树冠形状、树干是否腐朽、倾斜、弯曲，风向和风力，判断树木的自然倒向，根据上述诸因素和周围其他树木的位置，有无挂枝、枯枝和其他危险因素，正确选定树木伐倒方向。应尽量降低伐根高度，伐根高度不大于</w:t>
            </w:r>
            <w:r>
              <w:rPr>
                <w:rFonts w:ascii="仿宋_GB2312" w:hAnsi="仿宋_GB2312" w:cs="仿宋_GB2312" w:eastAsia="仿宋_GB2312"/>
                <w:sz w:val="21"/>
                <w:color w:val="000000"/>
              </w:rPr>
              <w:t>5cm。</w:t>
            </w:r>
          </w:p>
          <w:p>
            <w:pPr>
              <w:pStyle w:val="null3"/>
              <w:ind w:firstLine="420"/>
              <w:jc w:val="both"/>
            </w:pPr>
            <w:r>
              <w:rPr>
                <w:rFonts w:ascii="仿宋_GB2312" w:hAnsi="仿宋_GB2312" w:cs="仿宋_GB2312" w:eastAsia="仿宋_GB2312"/>
                <w:sz w:val="21"/>
                <w:color w:val="000000"/>
              </w:rPr>
              <w:t>保留木顺序：目标树</w:t>
            </w:r>
            <w:r>
              <w:rPr>
                <w:rFonts w:ascii="仿宋_GB2312" w:hAnsi="仿宋_GB2312" w:cs="仿宋_GB2312" w:eastAsia="仿宋_GB2312"/>
                <w:sz w:val="21"/>
                <w:color w:val="000000"/>
              </w:rPr>
              <w:t>→辅助树→干扰树→其他树，并在间伐过程中减少对保留木的损害。</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补植：</w:t>
            </w:r>
            <w:r>
              <w:rPr>
                <w:rFonts w:ascii="仿宋_GB2312" w:hAnsi="仿宋_GB2312" w:cs="仿宋_GB2312" w:eastAsia="仿宋_GB2312"/>
                <w:sz w:val="21"/>
                <w:color w:val="000000"/>
              </w:rPr>
              <w:t>除在现有林中空地及林木间隙</w:t>
            </w:r>
            <w:r>
              <w:rPr>
                <w:rFonts w:ascii="仿宋_GB2312" w:hAnsi="仿宋_GB2312" w:cs="仿宋_GB2312" w:eastAsia="仿宋_GB2312"/>
                <w:sz w:val="21"/>
                <w:color w:val="000000"/>
              </w:rPr>
              <w:t>进行补植外，还会在部分枯死木、干扰木及不良木的迹地设计补植</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b/>
                <w:color w:val="000000"/>
              </w:rPr>
              <w:t>6</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剩余物处理</w:t>
            </w:r>
          </w:p>
          <w:p>
            <w:pPr>
              <w:pStyle w:val="null3"/>
              <w:ind w:firstLine="420"/>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.1抚育剩余物处理</w:t>
            </w:r>
          </w:p>
          <w:p>
            <w:pPr>
              <w:pStyle w:val="null3"/>
              <w:ind w:firstLine="420"/>
              <w:jc w:val="both"/>
            </w:pPr>
            <w:r>
              <w:rPr>
                <w:rFonts w:ascii="仿宋_GB2312" w:hAnsi="仿宋_GB2312" w:cs="仿宋_GB2312" w:eastAsia="仿宋_GB2312"/>
                <w:sz w:val="21"/>
                <w:color w:val="000000"/>
              </w:rPr>
              <w:t>间伐抚育作业完成后，对</w:t>
            </w:r>
            <w:r>
              <w:rPr>
                <w:rFonts w:ascii="仿宋_GB2312" w:hAnsi="仿宋_GB2312" w:cs="仿宋_GB2312" w:eastAsia="仿宋_GB2312"/>
                <w:sz w:val="21"/>
                <w:color w:val="000000"/>
              </w:rPr>
              <w:t>于</w:t>
            </w:r>
            <w:r>
              <w:rPr>
                <w:rFonts w:ascii="仿宋_GB2312" w:hAnsi="仿宋_GB2312" w:cs="仿宋_GB2312" w:eastAsia="仿宋_GB2312"/>
                <w:sz w:val="21"/>
                <w:color w:val="000000"/>
              </w:rPr>
              <w:t>木材、枝丫等剩余物，有条件时应尽量运出加以利用，不能利用整齐堆放在林内，坡度较大地段沿等高线整齐条状堆放在林内。</w:t>
            </w:r>
          </w:p>
          <w:p>
            <w:pPr>
              <w:pStyle w:val="null3"/>
              <w:ind w:firstLine="420"/>
              <w:jc w:val="both"/>
            </w:pPr>
            <w:r>
              <w:rPr>
                <w:rFonts w:ascii="仿宋_GB2312" w:hAnsi="仿宋_GB2312" w:cs="仿宋_GB2312" w:eastAsia="仿宋_GB2312"/>
                <w:sz w:val="21"/>
                <w:b/>
                <w:color w:val="000000"/>
              </w:rPr>
              <w:t>7</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宣传牌建设</w:t>
            </w:r>
          </w:p>
          <w:p>
            <w:pPr>
              <w:pStyle w:val="null3"/>
              <w:ind w:firstLine="420"/>
              <w:jc w:val="both"/>
            </w:pPr>
            <w:r>
              <w:rPr>
                <w:rFonts w:ascii="仿宋_GB2312" w:hAnsi="仿宋_GB2312" w:cs="仿宋_GB2312" w:eastAsia="仿宋_GB2312"/>
                <w:sz w:val="21"/>
                <w:color w:val="000000"/>
              </w:rPr>
              <w:t>在作业区明显位置建设宣传牌</w:t>
            </w:r>
            <w:r>
              <w:rPr>
                <w:rFonts w:ascii="仿宋_GB2312" w:hAnsi="仿宋_GB2312" w:cs="仿宋_GB2312" w:eastAsia="仿宋_GB2312"/>
                <w:sz w:val="21"/>
                <w:color w:val="000000"/>
              </w:rPr>
              <w:t>1面（安装位置详见作业设计图，具体安装时可根据现地实际进行位置调整）。宣传牌内容包括：作业区名称、项目建设单位、作业区面积、抚育方式、作业责任单位等。</w:t>
            </w:r>
          </w:p>
          <w:p>
            <w:pPr>
              <w:pStyle w:val="null3"/>
              <w:ind w:firstLine="420"/>
              <w:jc w:val="both"/>
            </w:pPr>
            <w:r>
              <w:rPr>
                <w:rFonts w:ascii="仿宋_GB2312" w:hAnsi="仿宋_GB2312" w:cs="仿宋_GB2312" w:eastAsia="仿宋_GB2312"/>
                <w:sz w:val="21"/>
                <w:color w:val="000000"/>
              </w:rPr>
              <w:t>宣传牌要求钢架结构，支架采用</w:t>
            </w:r>
            <w:r>
              <w:rPr>
                <w:rFonts w:ascii="仿宋_GB2312" w:hAnsi="仿宋_GB2312" w:cs="仿宋_GB2312" w:eastAsia="仿宋_GB2312"/>
                <w:sz w:val="21"/>
                <w:color w:val="000000"/>
              </w:rPr>
              <w:t>φ76以上镀锌圆管焊接（圆管底部加焊十字角铁架，基础浇筑C20混凝土），钢管总高度4.5米，埋深1.0米。牌面采用1.8毫米厚铝板，版面规格1.5米×3.0米</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宣传牌内容如下：</w:t>
            </w:r>
          </w:p>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1"/>
                      <w:b/>
                      <w:color w:val="000000"/>
                    </w:rPr>
                    <w:t>2025年大巴山北麓和汉江谷地水土保持与水源涵养项</w:t>
                  </w:r>
                  <w:r>
                    <w:rPr>
                      <w:rFonts w:ascii="仿宋_GB2312" w:hAnsi="仿宋_GB2312" w:cs="仿宋_GB2312" w:eastAsia="仿宋_GB2312"/>
                      <w:sz w:val="21"/>
                      <w:b/>
                      <w:color w:val="000000"/>
                    </w:rPr>
                    <w:t>目</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碑坝林场</w:t>
                  </w:r>
                  <w:r>
                    <w:rPr>
                      <w:rFonts w:ascii="仿宋_GB2312" w:hAnsi="仿宋_GB2312" w:cs="仿宋_GB2312" w:eastAsia="仿宋_GB2312"/>
                      <w:sz w:val="21"/>
                      <w:b/>
                      <w:color w:val="000000"/>
                    </w:rPr>
                    <w:t>退化林修复）</w:t>
                  </w:r>
                </w:p>
                <w:p>
                  <w:pPr>
                    <w:pStyle w:val="null3"/>
                    <w:spacing w:before="135"/>
                    <w:jc w:val="center"/>
                  </w:pPr>
                  <w:r>
                    <w:rPr>
                      <w:rFonts w:ascii="仿宋_GB2312" w:hAnsi="仿宋_GB2312" w:cs="仿宋_GB2312" w:eastAsia="仿宋_GB2312"/>
                      <w:sz w:val="21"/>
                      <w:b/>
                      <w:color w:val="000000"/>
                    </w:rPr>
                    <w:t>碑坝</w:t>
                  </w:r>
                  <w:r>
                    <w:rPr>
                      <w:rFonts w:ascii="仿宋_GB2312" w:hAnsi="仿宋_GB2312" w:cs="仿宋_GB2312" w:eastAsia="仿宋_GB2312"/>
                      <w:sz w:val="21"/>
                      <w:b/>
                      <w:color w:val="000000"/>
                    </w:rPr>
                    <w:t>林场</w:t>
                  </w:r>
                  <w:r>
                    <w:rPr>
                      <w:rFonts w:ascii="仿宋_GB2312" w:hAnsi="仿宋_GB2312" w:cs="仿宋_GB2312" w:eastAsia="仿宋_GB2312"/>
                      <w:sz w:val="21"/>
                      <w:b/>
                      <w:color w:val="000000"/>
                    </w:rPr>
                    <w:t>/镇xx作业区</w:t>
                  </w:r>
                </w:p>
                <w:tbl>
                  <w:tblPr>
                    <w:tblBorders>
                      <w:top w:val="none" w:color="000000" w:sz="4"/>
                      <w:left w:val="none" w:color="000000" w:sz="4"/>
                      <w:bottom w:val="none" w:color="000000" w:sz="4"/>
                      <w:right w:val="none" w:color="000000" w:sz="4"/>
                      <w:insideH w:val="none"/>
                      <w:insideV w:val="none"/>
                    </w:tblBorders>
                  </w:tblPr>
                  <w:tblGrid>
                    <w:gridCol w:w="1014"/>
                    <w:gridCol w:w="1323"/>
                  </w:tblGrid>
                  <w:tr>
                    <w:tc>
                      <w:tcPr>
                        <w:tcW w:type="dxa" w:w="101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color w:val="000000"/>
                          </w:rPr>
                          <w:t>作业区面积：</w:t>
                        </w:r>
                        <w:r>
                          <w:rPr>
                            <w:rFonts w:ascii="仿宋_GB2312" w:hAnsi="仿宋_GB2312" w:cs="仿宋_GB2312" w:eastAsia="仿宋_GB2312"/>
                            <w:sz w:val="21"/>
                            <w:b/>
                            <w:color w:val="000000"/>
                          </w:rPr>
                          <w:t>××亩</w:t>
                        </w:r>
                      </w:p>
                    </w:tc>
                    <w:tc>
                      <w:tcPr>
                        <w:tcW w:type="dxa" w:w="13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color w:val="000000"/>
                          </w:rPr>
                          <w:t>可作业面积：</w:t>
                        </w:r>
                        <w:r>
                          <w:rPr>
                            <w:rFonts w:ascii="仿宋_GB2312" w:hAnsi="仿宋_GB2312" w:cs="仿宋_GB2312" w:eastAsia="仿宋_GB2312"/>
                            <w:sz w:val="21"/>
                            <w:b/>
                            <w:color w:val="000000"/>
                          </w:rPr>
                          <w:t>××亩</w:t>
                        </w:r>
                      </w:p>
                    </w:tc>
                  </w:tr>
                  <w:tr>
                    <w:tc>
                      <w:tcPr>
                        <w:tcW w:type="dxa" w:w="10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b/>
                            <w:color w:val="000000"/>
                          </w:rPr>
                          <w:t>抚育方式：综合抚育</w:t>
                        </w:r>
                      </w:p>
                    </w:tc>
                    <w:tc>
                      <w:tcPr>
                        <w:tcW w:type="dxa" w:w="13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b/>
                            <w:color w:val="000000"/>
                          </w:rPr>
                          <w:t>抚育措施：</w:t>
                        </w:r>
                        <w:r>
                          <w:rPr>
                            <w:rFonts w:ascii="仿宋_GB2312" w:hAnsi="仿宋_GB2312" w:cs="仿宋_GB2312" w:eastAsia="仿宋_GB2312"/>
                            <w:sz w:val="21"/>
                            <w:b/>
                            <w:color w:val="000000"/>
                          </w:rPr>
                          <w:t>采伐</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补植</w:t>
                        </w:r>
                      </w:p>
                    </w:tc>
                  </w:tr>
                  <w:tr>
                    <w:tc>
                      <w:tcPr>
                        <w:tcW w:type="dxa" w:w="10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b/>
                            <w:color w:val="000000"/>
                          </w:rPr>
                          <w:t>服务单位：</w:t>
                        </w:r>
                        <w:r>
                          <w:rPr>
                            <w:rFonts w:ascii="仿宋_GB2312" w:hAnsi="仿宋_GB2312" w:cs="仿宋_GB2312" w:eastAsia="仿宋_GB2312"/>
                            <w:sz w:val="21"/>
                            <w:b/>
                            <w:color w:val="000000"/>
                          </w:rPr>
                          <w:t>× × × ×</w:t>
                        </w:r>
                      </w:p>
                      <w:p>
                        <w:pPr>
                          <w:pStyle w:val="null3"/>
                          <w:spacing w:before="150"/>
                          <w:jc w:val="center"/>
                        </w:pPr>
                        <w:r>
                          <w:rPr>
                            <w:rFonts w:ascii="仿宋_GB2312" w:hAnsi="仿宋_GB2312" w:cs="仿宋_GB2312" w:eastAsia="仿宋_GB2312"/>
                            <w:sz w:val="21"/>
                            <w:b/>
                            <w:color w:val="000000"/>
                          </w:rPr>
                          <w:t>监理单位：</w:t>
                        </w:r>
                        <w:r>
                          <w:rPr>
                            <w:rFonts w:ascii="仿宋_GB2312" w:hAnsi="仿宋_GB2312" w:cs="仿宋_GB2312" w:eastAsia="仿宋_GB2312"/>
                            <w:sz w:val="21"/>
                            <w:b/>
                            <w:color w:val="000000"/>
                          </w:rPr>
                          <w:t>× × × ×</w:t>
                        </w:r>
                      </w:p>
                      <w:p>
                        <w:pPr>
                          <w:pStyle w:val="null3"/>
                          <w:spacing w:before="135"/>
                          <w:jc w:val="center"/>
                        </w:pPr>
                        <w:r>
                          <w:rPr>
                            <w:rFonts w:ascii="仿宋_GB2312" w:hAnsi="仿宋_GB2312" w:cs="仿宋_GB2312" w:eastAsia="仿宋_GB2312"/>
                            <w:sz w:val="21"/>
                            <w:b/>
                            <w:color w:val="000000"/>
                          </w:rPr>
                          <w:t>作业单位：</w:t>
                        </w:r>
                        <w:r>
                          <w:rPr>
                            <w:rFonts w:ascii="仿宋_GB2312" w:hAnsi="仿宋_GB2312" w:cs="仿宋_GB2312" w:eastAsia="仿宋_GB2312"/>
                            <w:sz w:val="21"/>
                            <w:b/>
                            <w:color w:val="000000"/>
                          </w:rPr>
                          <w:t>× × × ×</w:t>
                        </w:r>
                      </w:p>
                    </w:tc>
                    <w:tc>
                      <w:tcPr>
                        <w:tcW w:type="dxa" w:w="13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3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b/>
                          </w:rPr>
                          <w:t xml:space="preserve">                               </w:t>
                        </w:r>
                        <w:r>
                          <w:rPr>
                            <w:rFonts w:ascii="仿宋_GB2312" w:hAnsi="仿宋_GB2312" w:cs="仿宋_GB2312" w:eastAsia="仿宋_GB2312"/>
                            <w:sz w:val="21"/>
                            <w:b/>
                            <w:color w:val="000000"/>
                          </w:rPr>
                          <w:t>××年××月</w:t>
                        </w:r>
                      </w:p>
                    </w:tc>
                  </w:tr>
                </w:tbl>
                <w:p>
                  <w:pPr>
                    <w:pStyle w:val="null3"/>
                    <w:jc w:val="both"/>
                  </w:pP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合同签订后180日历天完成。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（1）中标人向采购人提交项目实施过程中的所有资料。 （2）验收须以合同、招标文件及投标文件、澄清及国家相应的标准、规范等为依据。 （3）符合中华人民共和国国家和履约地相关安全质量标准、行业技术规范标准、环保节能标准； （4）符合招标文件及投标文件承诺中采购人认可的各项要求； （5）双方约定的其他验收标准。 （6）采购人在合同的履行期间以及履行期后，可以随时检查项目的执行情况，对采购标准、采购内容进行调查核实，并对发现的问题进行处理。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合同签订，人员到位后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项目完成60% 采购人验收无误后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项目完成100% 采购人验收无误后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整体服务竣工并验收后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1.乙方应按合同约定时间完成合同义务，若发生延迟，乙方应向甲方支付合同总价款10%的违约金，且甲方有权单方解除本合同。但甲方书面同意延迟或因甲方原因导致延迟的，乙方不承担违约责任。 2.本次活动因乙方原因导致侵害甲方或第三方合法权益的，应由乙方承担相应赔偿责任，并向甲方支付合同总价款10%的违约金。 3.若乙方未经甲方同意泄露本合同约定的任何秘密信息的，乙方应按照合同总价款的10%向甲方支付违约金，并赔偿因此给甲方造成的损失。 4.乙方保证向甲方开具发票的真实性、合法性，若乙方向甲方开具的发票存在真实性、合法性问题，给甲方造成损失的，乙方应按合同总价款的10%向甲方支付违约金，违约金不足以弥补损失的，乙方还应承担相应赔偿责任。 二、解决争议的方法：执行本合同过程中发生争议，应友好协商解决，协商不成的，可协商或由有关部门调解解决，协商或调解不成的，可向采购方所在地南郑区人民法院提起诉讼。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1、特别注意:为顺利推进政府采购电子化交易平台应用工作，供应商需要在线提交所有通过电子化交易平台实施的政府采购项目的磋商响应文件。 2、成交供应商在采购结果发布后3个工作日内向代理机构提交纸质版响应文件以便于存档，响应文件正本1份，副本2份，电子版文件2份（以U盘为载体，电子版内容包括Word版本、签字盖章扫描后的PDF版本响应文件）。纸质响应文件均须A4纸打印，分别各自装订成册并编制目录和页码。线下递交响应文件地点：汉中市汉台区西一环路蓝天御苑小区商铺二层门面房南侧。 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投标人需在项目电子化交易系统中按要求上传《汉中市政府采购投标人资格承诺函》并进行电子签章。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投标人应授权合法的人员参加投标全过程</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投标人资格要求</w:t>
            </w:r>
          </w:p>
        </w:tc>
        <w:tc>
          <w:tcPr>
            <w:tcW w:type="dxa" w:w="3322"/>
          </w:tcPr>
          <w:p>
            <w:pPr>
              <w:pStyle w:val="null3"/>
            </w:pPr>
            <w:r>
              <w:rPr>
                <w:rFonts w:ascii="仿宋_GB2312" w:hAnsi="仿宋_GB2312" w:cs="仿宋_GB2312" w:eastAsia="仿宋_GB2312"/>
              </w:rPr>
              <w:t>投标人须提供《汉中市政府采购投标人资格承诺函》。</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符合招标文件内要求。</w:t>
            </w:r>
          </w:p>
        </w:tc>
        <w:tc>
          <w:tcPr>
            <w:tcW w:type="dxa" w:w="1661"/>
          </w:tcPr>
          <w:p>
            <w:pPr>
              <w:pStyle w:val="null3"/>
            </w:pPr>
            <w:r>
              <w:rPr>
                <w:rFonts w:ascii="仿宋_GB2312" w:hAnsi="仿宋_GB2312" w:cs="仿宋_GB2312" w:eastAsia="仿宋_GB2312"/>
              </w:rPr>
              <w:t>开标一览表 分项报价表 投标函 中小企业声明函 残疾人福利性单位声明函 技术、服务、商务及其他要求应答表 标的清单 投标文件封面 其他材料及供应商认为有必要说明、阐述的事项 总服务方案等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技术、服务、商务及其他要求应答表</w:t>
            </w:r>
          </w:p>
        </w:tc>
        <w:tc>
          <w:tcPr>
            <w:tcW w:type="dxa" w:w="3322"/>
          </w:tcPr>
          <w:p>
            <w:pPr>
              <w:pStyle w:val="null3"/>
            </w:pPr>
            <w:r>
              <w:rPr>
                <w:rFonts w:ascii="仿宋_GB2312" w:hAnsi="仿宋_GB2312" w:cs="仿宋_GB2312" w:eastAsia="仿宋_GB2312"/>
              </w:rPr>
              <w:t>应符合招标文件内给出的格式及要求。</w:t>
            </w:r>
          </w:p>
        </w:tc>
        <w:tc>
          <w:tcPr>
            <w:tcW w:type="dxa" w:w="1661"/>
          </w:tcPr>
          <w:p>
            <w:pPr>
              <w:pStyle w:val="null3"/>
            </w:pPr>
            <w:r>
              <w:rPr>
                <w:rFonts w:ascii="仿宋_GB2312" w:hAnsi="仿宋_GB2312" w:cs="仿宋_GB2312" w:eastAsia="仿宋_GB2312"/>
              </w:rPr>
              <w:t>技术、服务、商务及其他要求应答表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总服务方案</w:t>
            </w:r>
          </w:p>
        </w:tc>
        <w:tc>
          <w:tcPr>
            <w:tcW w:type="dxa" w:w="2492"/>
          </w:tcPr>
          <w:p>
            <w:pPr>
              <w:pStyle w:val="null3"/>
            </w:pPr>
            <w:r>
              <w:rPr>
                <w:rFonts w:ascii="仿宋_GB2312" w:hAnsi="仿宋_GB2312" w:cs="仿宋_GB2312" w:eastAsia="仿宋_GB2312"/>
              </w:rPr>
              <w:t>一、评审内容:投标人针对碑坝林场退化林修复出具具体的总服务方案：①采伐方案；②补植方案；③采伐剩余物处理与林地清理方案；④宣传标识方案；⑤辅助措施方案。二、评审标准： （1）完整性：对上述各项内容均有描述，得5分；每缺1项扣1分，扣完为止。（2）针对性：上述各项内容针对性强，每项内容得3分；针对性一般，每项内容得2分；缺乏针对性，每项内容得1分。（3）可实施性：上述各项内容可实施性强，每项内容得3分；可实施性一般，每项内容得2分；缺乏可实施性，每项内容得1分。 此项不提供不得分。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总服务方案等</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技术、服务、商务及其他要求应答表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重难点分析及控制措施</w:t>
            </w:r>
          </w:p>
        </w:tc>
        <w:tc>
          <w:tcPr>
            <w:tcW w:type="dxa" w:w="2492"/>
          </w:tcPr>
          <w:p>
            <w:pPr>
              <w:pStyle w:val="null3"/>
            </w:pPr>
            <w:r>
              <w:rPr>
                <w:rFonts w:ascii="仿宋_GB2312" w:hAnsi="仿宋_GB2312" w:cs="仿宋_GB2312" w:eastAsia="仿宋_GB2312"/>
              </w:rPr>
              <w:t>一、评审内容：针对本项目提供详细的重难点分析及控制措施包括：①重难点分析措施；②控制措施；③预防机制措施。二、评审标准：（1）完整性：对上述各项内容均有描述，得3分；每缺1项扣1分，扣完为止。（2）针对性：上述各项内容针对性强，每项内容得2分；针对性一般，每项内容得1分；缺乏针对性，每项内容得0分。（3）可实施性：上述各项内容可实施性强，每项内容得2分；可实施性一般，每项内容得1分；缺乏可实施性，每项内容得0分。 此项不提供不得分。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技术、服务、商务及其他要求应答表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总服务方案等</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一、评审内容：针对本项目提供详细的服务承诺包括：①服务质量目标；②有利于本项目实施的服务承诺；③合理化建议。二、评审标准：（1）完整性：对上述各项内容均有描述，得3分；每缺1项扣1分，扣完为止。（2）针对性：上述各项内容针对性强，每项内容得2分；针对性一般，每项内容得1分；缺乏针对性，每项内容得0分。（3）可实施性：上述各项内容可实施性强，每项内容得2分；可实施性一般，每项内容得1分；缺乏可实施性，每项内容得0分。 此项不提供不得分。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技术、服务、商务及其他要求应答表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总服务方案等</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针对本项目提供详细的应急预案包括：①应急预案；②应急预案可操作性方案。二、评审标准：（1）完整性：对上述各项内容均有描述，得2分；每缺1项扣1分，扣完为止。（2）针对性：上述各项内容针对性强，每项内容得2分；针对性一般，每项内容得1分；缺乏针对性，每项内容得0分。（3）可实施性：上述各项内容可实施性强，每项内容得2分；可实施性一般，每项内容得1分；缺乏可实施性，每项内容得0分。 此项不提供不得分。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技术、服务、商务及其他要求应答表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总服务方案等</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人员档案管理方案</w:t>
            </w:r>
          </w:p>
        </w:tc>
        <w:tc>
          <w:tcPr>
            <w:tcW w:type="dxa" w:w="2492"/>
          </w:tcPr>
          <w:p>
            <w:pPr>
              <w:pStyle w:val="null3"/>
            </w:pPr>
            <w:r>
              <w:rPr>
                <w:rFonts w:ascii="仿宋_GB2312" w:hAnsi="仿宋_GB2312" w:cs="仿宋_GB2312" w:eastAsia="仿宋_GB2312"/>
              </w:rPr>
              <w:t>一、评审内容：针对本项目提供详细的人员档案管理方案。二、评审标准：（1）完整性：对上述内容有描述，得1分；缺项扣1分，扣完为止。此项不提供不得分。（2）针对性：上述内容针对性强得2分；针对性一般得1分；缺乏针对性得0分。此项不提供不得分。（3）可实施性：上述内容可实施性强得2分；可实施性一般得1分；缺乏可实施性得0分。此项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技术、服务、商务及其他要求应答表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总服务方案等</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拟投入本项目团队人员</w:t>
            </w:r>
          </w:p>
        </w:tc>
        <w:tc>
          <w:tcPr>
            <w:tcW w:type="dxa" w:w="2492"/>
          </w:tcPr>
          <w:p>
            <w:pPr>
              <w:pStyle w:val="null3"/>
            </w:pPr>
            <w:r>
              <w:rPr>
                <w:rFonts w:ascii="仿宋_GB2312" w:hAnsi="仿宋_GB2312" w:cs="仿宋_GB2312" w:eastAsia="仿宋_GB2312"/>
              </w:rPr>
              <w:t>一、评审内容：针对本项目提供详细的拟投入人员配备：①人员配备数量；②人员岗位安排。二、评审标准：（1）完整性：对上述各项内容均有描述，得2分；每缺1项扣1分，扣完为止。（2）针对性：上述各项内容针对性强，每项内容得1分；针对性一般，每项内容得0.5分；缺乏针对性，每项内容得0分。（3）可实施性：上述各项内容可实施性强，每项内容得1分；可实施性一般，每项内容得0.5分；缺乏可实施性，每项内容得0分。 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技术、服务、商务及其他要求应答表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总服务方案等</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提供2023年1月1日至今类似相关项目业绩 ①每份得2分，最高得4分； ②无此项内容不得分。 （注：业绩证明材料以中标（成交）通知书或合同（协议书）为准，投标文件中附中标（成交）通知书或合同（协议书）复印件并加盖企业公章，未提供证明材料不得分）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技术、服务、商务及其他要求应答表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总服务方案等</w:t>
            </w:r>
          </w:p>
          <w:p>
            <w:pPr>
              <w:pStyle w:val="null3"/>
            </w:pPr>
            <w:r>
              <w:rPr>
                <w:rFonts w:ascii="仿宋_GB2312" w:hAnsi="仿宋_GB2312" w:cs="仿宋_GB2312" w:eastAsia="仿宋_GB2312"/>
              </w:rPr>
              <w:t>其他材料及供应商认为有必要说明、阐述的事项</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价格分采用低价优先法计算，即满足招标文件要求且投标价格最低的投标报价为评标基准价，其价格分为满分。其他投标人的价格分统一按照下列公式得算： 报价得分＝(评标基准价／投标报价)×10 得算分数时四舍五入取小数点后两位。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详见附件：技术、服务、商务及其他要求应答表</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详见附件：总服务方案等</w:t>
      </w:r>
    </w:p>
    <w:p>
      <w:pPr>
        <w:pStyle w:val="null3"/>
        <w:ind w:firstLine="960"/>
      </w:pPr>
      <w:r>
        <w:rPr>
          <w:rFonts w:ascii="仿宋_GB2312" w:hAnsi="仿宋_GB2312" w:cs="仿宋_GB2312" w:eastAsia="仿宋_GB2312"/>
        </w:rPr>
        <w:t>详见附件：其他材料及供应商认为有必要说明、阐述的事项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