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版本号：SXPZ-2025-11-0220251120001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汉中市南郑区松树钻蛀类害虫系统调查工作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SXPZ-2025-11-02</w:t>
      </w:r>
      <w:r>
        <w:br/>
      </w:r>
      <w:r>
        <w:br/>
      </w:r>
      <w:r>
        <w:br/>
      </w:r>
    </w:p>
    <w:p>
      <w:pPr>
        <w:pStyle w:val="null3"/>
        <w:jc w:val="center"/>
        <w:outlineLvl w:val="2"/>
      </w:pPr>
      <w:r>
        <w:rPr>
          <w:rFonts w:ascii="仿宋_GB2312" w:hAnsi="仿宋_GB2312" w:cs="仿宋_GB2312" w:eastAsia="仿宋_GB2312"/>
          <w:sz w:val="28"/>
          <w:b/>
        </w:rPr>
        <w:t>汉中市南郑区秦巴生态保护中心</w:t>
      </w:r>
    </w:p>
    <w:p>
      <w:pPr>
        <w:pStyle w:val="null3"/>
        <w:jc w:val="center"/>
        <w:outlineLvl w:val="2"/>
      </w:pPr>
      <w:r>
        <w:rPr>
          <w:rFonts w:ascii="仿宋_GB2312" w:hAnsi="仿宋_GB2312" w:cs="仿宋_GB2312" w:eastAsia="仿宋_GB2312"/>
          <w:sz w:val="28"/>
          <w:b/>
        </w:rPr>
        <w:t>陕西鹏泽项目管理有限公司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陕西鹏泽项目管理有限公司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汉中市南郑区秦巴生态保护中心</w:t>
      </w:r>
      <w:r>
        <w:rPr>
          <w:rFonts w:ascii="仿宋_GB2312" w:hAnsi="仿宋_GB2312" w:cs="仿宋_GB2312" w:eastAsia="仿宋_GB2312"/>
        </w:rPr>
        <w:t>委托，拟对</w:t>
      </w:r>
      <w:r>
        <w:rPr>
          <w:rFonts w:ascii="仿宋_GB2312" w:hAnsi="仿宋_GB2312" w:cs="仿宋_GB2312" w:eastAsia="仿宋_GB2312"/>
        </w:rPr>
        <w:t>汉中市南郑区松树钻蛀类害虫系统调查工作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SXPZ-2025-11-02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汉中市南郑区松树钻蛀类害虫系统调查工作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统一应用监管平台及其手机端APP，以松林小班为单位，调查松林健康状况、钻蛀类害虫种类、危害部位、发生程度和寄主植物，统计各种类害虫发生范围、分布范围、发生面积和成灾面积。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采购包1（汉中市南郑区松树钻蛀类害虫系统调查工作）：属于专门面向中小企业采购。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要求：具有独立承担民事责任能力的法人、其他组织或自然人，并出具合法有效的营业执照或事业单位法人证书等国家规定的相关证明，自然人参与的提供其身份证明；供应商具有陕西省林业有害生物防治调查设计丙级及以上资质。</w:t>
      </w:r>
    </w:p>
    <w:p>
      <w:pPr>
        <w:pStyle w:val="null3"/>
      </w:pPr>
      <w:r>
        <w:rPr>
          <w:rFonts w:ascii="仿宋_GB2312" w:hAnsi="仿宋_GB2312" w:cs="仿宋_GB2312" w:eastAsia="仿宋_GB2312"/>
        </w:rPr>
        <w:t>2、法定代表人身份证明或法定代表人授权书：投标人应授权合法的人员参加投标全过程，其中法定代表人（负责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3、供应商需提供加盖公章的《汉中市政府采购供应商资格承诺函》：供应商需提供加盖公章的《汉中市政府采购供应商资格承诺函》</w:t>
      </w:r>
    </w:p>
    <w:p>
      <w:pPr>
        <w:pStyle w:val="null3"/>
      </w:pPr>
      <w:r>
        <w:rPr>
          <w:rFonts w:ascii="仿宋_GB2312" w:hAnsi="仿宋_GB2312" w:cs="仿宋_GB2312" w:eastAsia="仿宋_GB2312"/>
        </w:rPr>
        <w:t>4、本项目不接受联合体投标：供应商应提供非联合体承诺函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汉中市南郑区秦巴生态保护中心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汉中市南郑区秦巴生态保护中心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0916-5512437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陕西鹏泽项目管理有限公司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陕西省汉中市南郑区中所营街道办董家营十字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0916-5364118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开户名称：陕西鹏泽项目管理有限公司</w:t>
            </w:r>
          </w:p>
          <w:p>
            <w:pPr>
              <w:pStyle w:val="null3"/>
            </w:pPr>
            <w:r>
              <w:rPr>
                <w:rFonts w:ascii="仿宋_GB2312" w:hAnsi="仿宋_GB2312" w:cs="仿宋_GB2312" w:eastAsia="仿宋_GB2312"/>
              </w:rPr>
              <w:t>开户银行：中国工商银行股份有限公司南郑县支行</w:t>
            </w:r>
          </w:p>
          <w:p>
            <w:pPr>
              <w:pStyle w:val="null3"/>
            </w:pPr>
            <w:r>
              <w:rPr>
                <w:rFonts w:ascii="仿宋_GB2312" w:hAnsi="仿宋_GB2312" w:cs="仿宋_GB2312" w:eastAsia="仿宋_GB2312"/>
              </w:rPr>
              <w:t>银行账号：2606050709200001641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说明：履约保证金退还按合同约定执行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代理服务费收费标准：参照计价格【2011】534号文件以及【计价格[2002]1980号】及代理服务合同计取。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汉中市南郑区秦巴生态保护中心</w:t>
      </w:r>
      <w:r>
        <w:rPr>
          <w:rFonts w:ascii="仿宋_GB2312" w:hAnsi="仿宋_GB2312" w:cs="仿宋_GB2312" w:eastAsia="仿宋_GB2312"/>
        </w:rPr>
        <w:t>和</w:t>
      </w:r>
      <w:r>
        <w:rPr>
          <w:rFonts w:ascii="仿宋_GB2312" w:hAnsi="仿宋_GB2312" w:cs="仿宋_GB2312" w:eastAsia="仿宋_GB2312"/>
        </w:rPr>
        <w:t>陕西鹏泽项目管理有限公司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汉中市南郑区秦巴生态保护中心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陕西鹏泽项目管理有限公司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汉中市南郑区秦巴生态保护中心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陕西鹏泽项目管理有限公司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联系电话：0916-5364118</w:t>
      </w:r>
    </w:p>
    <w:p>
      <w:pPr>
        <w:pStyle w:val="null3"/>
      </w:pPr>
      <w:r>
        <w:rPr>
          <w:rFonts w:ascii="仿宋_GB2312" w:hAnsi="仿宋_GB2312" w:cs="仿宋_GB2312" w:eastAsia="仿宋_GB2312"/>
        </w:rPr>
        <w:t>地址：陕西省汉中市南郑区中所营街道办董家营十字</w:t>
      </w:r>
    </w:p>
    <w:p>
      <w:pPr>
        <w:pStyle w:val="null3"/>
      </w:pPr>
      <w:r>
        <w:rPr>
          <w:rFonts w:ascii="仿宋_GB2312" w:hAnsi="仿宋_GB2312" w:cs="仿宋_GB2312" w:eastAsia="仿宋_GB2312"/>
        </w:rPr>
        <w:t>邮编：723102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统一应用监管平台及其手机端APP，以松林小班为单位，调查松林健康状况、钻蛀类害虫种类、危害部位、发生程度和寄主植物，统计各种类害虫发生范围、分布范围、发生面积和成灾面积。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南郑区松树钻蛀类害虫系统调查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标的名称：南郑区松树钻蛀类害虫系统调查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调查区域</w:t>
            </w:r>
            <w:r>
              <w:rPr>
                <w:rFonts w:ascii="仿宋_GB2312" w:hAnsi="仿宋_GB2312" w:cs="仿宋_GB2312" w:eastAsia="仿宋_GB2312"/>
                <w:sz w:val="20"/>
              </w:rPr>
              <w:t>：</w:t>
            </w:r>
          </w:p>
          <w:p>
            <w:pPr>
              <w:pStyle w:val="null3"/>
            </w:pPr>
            <w:r>
              <w:rPr>
                <w:rFonts w:ascii="仿宋_GB2312" w:hAnsi="仿宋_GB2312" w:cs="仿宋_GB2312" w:eastAsia="仿宋_GB2312"/>
                <w:sz w:val="20"/>
              </w:rPr>
              <w:t>南郑区</w:t>
            </w:r>
            <w:r>
              <w:rPr>
                <w:rFonts w:ascii="仿宋_GB2312" w:hAnsi="仿宋_GB2312" w:cs="仿宋_GB2312" w:eastAsia="仿宋_GB2312"/>
                <w:sz w:val="20"/>
              </w:rPr>
              <w:t>松科植物分布的小班（含散生松科植物）。</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调查对象</w:t>
            </w:r>
            <w:r>
              <w:rPr>
                <w:rFonts w:ascii="仿宋_GB2312" w:hAnsi="仿宋_GB2312" w:cs="仿宋_GB2312" w:eastAsia="仿宋_GB2312"/>
                <w:sz w:val="20"/>
              </w:rPr>
              <w:t>：</w:t>
            </w:r>
          </w:p>
          <w:p>
            <w:pPr>
              <w:pStyle w:val="null3"/>
            </w:pPr>
            <w:r>
              <w:rPr>
                <w:rFonts w:ascii="仿宋_GB2312" w:hAnsi="仿宋_GB2312" w:cs="仿宋_GB2312" w:eastAsia="仿宋_GB2312"/>
                <w:sz w:val="20"/>
              </w:rPr>
              <w:t>危害松科植物并造成经济或生态损失的钻蛀类害虫，包括天牛类、小蠹虫类、木蠹象类、螟蛾类、吉丁类、树蜂类等；松树钻蛀类害虫的天敌昆虫。</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工作内容：</w:t>
            </w:r>
          </w:p>
          <w:p>
            <w:pPr>
              <w:pStyle w:val="null3"/>
              <w:jc w:val="both"/>
            </w:pPr>
            <w:r>
              <w:rPr>
                <w:rFonts w:ascii="仿宋_GB2312" w:hAnsi="仿宋_GB2312" w:cs="仿宋_GB2312" w:eastAsia="仿宋_GB2312"/>
                <w:sz w:val="20"/>
              </w:rPr>
              <w:t>1、外业调查：按照要求开展外业调查，同步制作实物标本。所有调查数据信息均通过松材线虫病疫情防控监管平台及其手机端APP中的“蛀干害虫监测”功能模块进行采集和上报。</w:t>
            </w:r>
          </w:p>
          <w:p>
            <w:pPr>
              <w:pStyle w:val="null3"/>
              <w:jc w:val="both"/>
            </w:pPr>
            <w:r>
              <w:rPr>
                <w:rFonts w:ascii="仿宋_GB2312" w:hAnsi="仿宋_GB2312" w:cs="仿宋_GB2312" w:eastAsia="仿宋_GB2312"/>
                <w:sz w:val="20"/>
              </w:rPr>
              <w:t>①踏查小班松林现状，内容包括：松林健康状况，松树异常原因和林分受害照片，寄主树种、平均树龄、平均胸径、公顷株树等基础数据，被害株率、蛀干类、致死株率等松树被害指标，害虫种类、危害部位和害虫照片。</w:t>
            </w:r>
          </w:p>
          <w:p>
            <w:pPr>
              <w:pStyle w:val="null3"/>
              <w:jc w:val="both"/>
            </w:pPr>
            <w:r>
              <w:rPr>
                <w:rFonts w:ascii="仿宋_GB2312" w:hAnsi="仿宋_GB2312" w:cs="仿宋_GB2312" w:eastAsia="仿宋_GB2312"/>
                <w:sz w:val="20"/>
              </w:rPr>
              <w:t>②采集松树类钻蛀类害虫的标本、样品等实物资料和照片、影音等资料采集质量依据松树钻蛀类害虫系统调查技术方案相关规程确定。</w:t>
            </w:r>
          </w:p>
          <w:p>
            <w:pPr>
              <w:pStyle w:val="null3"/>
              <w:jc w:val="both"/>
            </w:pPr>
            <w:r>
              <w:rPr>
                <w:rFonts w:ascii="仿宋_GB2312" w:hAnsi="仿宋_GB2312" w:cs="仿宋_GB2312" w:eastAsia="仿宋_GB2312"/>
                <w:sz w:val="20"/>
              </w:rPr>
              <w:t>2、内业调查：主要完成松树钻蛀类害虫调查结果报告、工作报告、主要松树钻蛀类害虫名录、分布图，制作实物标本等调查成果。</w:t>
            </w:r>
          </w:p>
          <w:p>
            <w:pPr>
              <w:pStyle w:val="null3"/>
            </w:pPr>
            <w:r>
              <w:rPr>
                <w:rFonts w:ascii="仿宋_GB2312" w:hAnsi="仿宋_GB2312" w:cs="仿宋_GB2312" w:eastAsia="仿宋_GB2312"/>
                <w:sz w:val="20"/>
              </w:rPr>
              <w:t>3、汇总数据，建立松树钻蛀类害虫发生情况本底数据库、影像数据库和标本库，完成监测预报信息管理和可视化展示系统。完成全区主要松树钻蛀类害虫名录及其发生分布情况、灾害损失及危害风险评估、发生趋势分析及预防与治理策略等综合报告。</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调查流程和方法</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通过踏查和标准小班详细调查，调查松林健康状况、主要松树钻蛀类害虫分布及发生情况</w:t>
            </w:r>
          </w:p>
          <w:p>
            <w:pPr>
              <w:pStyle w:val="null3"/>
              <w:jc w:val="both"/>
            </w:pPr>
            <w:r>
              <w:drawing>
                <wp:inline distT="0" distR="0" distB="0" distL="0">
                  <wp:extent cx="1621155" cy="145963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459637"/>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服务要求</w:t>
            </w:r>
          </w:p>
          <w:p>
            <w:pPr>
              <w:pStyle w:val="null3"/>
              <w:jc w:val="both"/>
            </w:pPr>
            <w:r>
              <w:rPr>
                <w:rFonts w:ascii="仿宋_GB2312" w:hAnsi="仿宋_GB2312" w:cs="仿宋_GB2312" w:eastAsia="仿宋_GB2312"/>
                <w:sz w:val="20"/>
              </w:rPr>
              <w:t>1、调查单元要形成松树钻蛀类害虫调查结果报告和工作报告，在规定时限内上报生态中心。</w:t>
            </w:r>
          </w:p>
          <w:p>
            <w:pPr>
              <w:pStyle w:val="null3"/>
              <w:jc w:val="both"/>
            </w:pPr>
            <w:r>
              <w:rPr>
                <w:rFonts w:ascii="仿宋_GB2312" w:hAnsi="仿宋_GB2312" w:cs="仿宋_GB2312" w:eastAsia="仿宋_GB2312"/>
                <w:sz w:val="20"/>
              </w:rPr>
              <w:t>2、调查单元要分别形成松树类钻蛀类害虫数据库和数字化标本库，并由生态中心审核汇总后，将相关数据上报林业主管部门，分别建立松树类钻蛀类害虫数据库和数字化标本库。</w:t>
            </w:r>
          </w:p>
          <w:p>
            <w:pPr>
              <w:pStyle w:val="null3"/>
            </w:pPr>
            <w:r>
              <w:rPr>
                <w:rFonts w:ascii="仿宋_GB2312" w:hAnsi="仿宋_GB2312" w:cs="仿宋_GB2312" w:eastAsia="仿宋_GB2312"/>
                <w:sz w:val="20"/>
              </w:rPr>
              <w:t>3、调查单元要分别形成松树类钻蛀类害虫风险分级区划和风险评估报告，发生趋势及预防与治理策略报告，按要求在规定时限内上报生态中心，形成松树类钻蛀类害虫风险分级区划和风险评估报告后上报林业主管部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26年9月底前完成外业调查及内业整理；26年10月到11月完成成果总结，11月底前上报成果。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完成外业调查及内业整理后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成果上报审核通过后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具有陕西省林业有害生物防治调查设计丙级及以上资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供应商需提供加盖公章的《汉中市政府采购供应商资格承诺函》</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供应商应提供非联合体承诺函</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残疾人福利性单位声明函 服务方案 标的清单 响应函 资格证明文件.pdf 监狱企业的证明文件 投标保证金凭证.pdf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投标报价唯一且未超出采购预算</w:t>
            </w:r>
          </w:p>
        </w:tc>
        <w:tc>
          <w:tcPr>
            <w:tcW w:type="dxa" w:w="1661"/>
          </w:tcPr>
          <w:p>
            <w:pPr>
              <w:pStyle w:val="null3"/>
            </w:pPr>
            <w:r>
              <w:rPr>
                <w:rFonts w:ascii="仿宋_GB2312" w:hAnsi="仿宋_GB2312" w:cs="仿宋_GB2312" w:eastAsia="仿宋_GB2312"/>
              </w:rPr>
              <w:t>标的清单 报价表 响应函 分项报价表.pdf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残疾人福利性单位声明函 服务方案 标的清单 响应函 资格证明文件.pdf 监狱企业的证明文件 投标保证金凭证.pdf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投标无效条件：投标保证金未提交或金额、形式不符合招标文件要求的</w:t>
            </w:r>
          </w:p>
        </w:tc>
        <w:tc>
          <w:tcPr>
            <w:tcW w:type="dxa" w:w="1661"/>
          </w:tcPr>
          <w:p>
            <w:pPr>
              <w:pStyle w:val="null3"/>
            </w:pPr>
            <w:r>
              <w:rPr>
                <w:rFonts w:ascii="仿宋_GB2312" w:hAnsi="仿宋_GB2312" w:cs="仿宋_GB2312" w:eastAsia="仿宋_GB2312"/>
              </w:rPr>
              <w:t>投标保证金凭证.pdf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针对本项目制定详细的实施方案，方案需符合项目实际情况，合理可行； 二、赋分标准方案科学合理、可行、全面计 18-26 分；方案基本合理可行计9-18 分，方案欠缺、无实质性内容计 1-9 分，未提供不计分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二、赋分标准响应全面，可行计 6-12 分，响应不全面，方案欠缺计1-6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针对本项目提出项目进度计划，方案包含：①项目进度计划②进度保证措施。 二、赋分标准（满分12分） ①项目进度计划：方案科学合理、可行、全面计 4-6 分；方案基本合理可行计2-4分，方案欠缺、无实质性内容计 1-2 分，未提供不计分； ②进度保证措施:方案科学合理、可行、全面计 4-6 分；方案基本合理可行计2-4分，方案欠缺、无实质性内容计 1-2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针对本项目提出服务质量保证措施，方案包含：①质量控制方案②质量保证措施方案。 方案必须全面，切合本项目实际情况，步骤清晰、能够紧扣项目实际情况，内容科学合理。 二、赋分标准（满分12分） ①质量控制方案：方案科学合理、可行、全面计 4-6 分；方案基本合理可行计2-4分，方案欠缺、无实质性内容计 1-2 分，未提供不计分 ②质量保证措施方案:方案科学合理、可行、全面计 4-6 分；方案基本合理可行计2-4分，方案欠缺、无实质性内容计 1-2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方案必须全面，切合本项目实际情况，步骤清晰、能够紧扣项目实际情况，内容科学合理。 二、赋分标准（满分10分）方案科学合理、可行、全面计 6-10 分；方案基本合理可行计3-6分，方案欠缺、无实质性内容计 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①项目负责人具有林业相关工程师及以上职称，得3分； ②投标供应商针对本项目有具体的人员安排计划（配置人员专业、数量、职称及具有相关经验）与所需设备配置明细（需提供详细设备清单），分工合理、责任明确。科学合理计 6-9 分；基本合理可行计3-6分，欠缺、无实质性内容计 1-3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2022年1月1日起至今类似项目业绩，每提供一份业绩合同得2分，满分为 6分，不得重复累计。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1、上限为最高限价，即报价大于上限价视为无效标； 2、以满足本次磋商文件要求的最低报价为评审基准价，其价格为满分； 3、投标供应商报价得分=（评审基准价/报价）×30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详见附件：投标保证金凭证.pdf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