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版本号：RDX-ZB2025第045号.1B120251121001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汉中市南郑区森林草原湿地荒漠化普查项目(二次)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RDX-ZB2025第045号.1B1</w:t>
      </w:r>
      <w:r>
        <w:br/>
      </w:r>
      <w:r>
        <w:br/>
      </w:r>
      <w:r>
        <w:br/>
      </w:r>
    </w:p>
    <w:p>
      <w:pPr>
        <w:pStyle w:val="null3"/>
        <w:jc w:val="center"/>
        <w:outlineLvl w:val="2"/>
      </w:pPr>
      <w:r>
        <w:rPr>
          <w:rFonts w:ascii="仿宋_GB2312" w:hAnsi="仿宋_GB2312" w:cs="仿宋_GB2312" w:eastAsia="仿宋_GB2312"/>
          <w:sz w:val="28"/>
          <w:b/>
        </w:rPr>
        <w:t>汉中市南郑区林业局</w:t>
      </w:r>
    </w:p>
    <w:p>
      <w:pPr>
        <w:pStyle w:val="null3"/>
        <w:jc w:val="center"/>
        <w:outlineLvl w:val="2"/>
      </w:pPr>
      <w:r>
        <w:rPr>
          <w:rFonts w:ascii="仿宋_GB2312" w:hAnsi="仿宋_GB2312" w:cs="仿宋_GB2312" w:eastAsia="仿宋_GB2312"/>
          <w:sz w:val="28"/>
          <w:b/>
        </w:rPr>
        <w:t>陕西容德轩项目管理有限公司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陕西容德轩项目管理有限公司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汉中市南郑区林业局</w:t>
      </w:r>
      <w:r>
        <w:rPr>
          <w:rFonts w:ascii="仿宋_GB2312" w:hAnsi="仿宋_GB2312" w:cs="仿宋_GB2312" w:eastAsia="仿宋_GB2312"/>
        </w:rPr>
        <w:t>委托，拟对</w:t>
      </w:r>
      <w:r>
        <w:rPr>
          <w:rFonts w:ascii="仿宋_GB2312" w:hAnsi="仿宋_GB2312" w:cs="仿宋_GB2312" w:eastAsia="仿宋_GB2312"/>
        </w:rPr>
        <w:t>汉中市南郑区森林草原湿地荒漠化普查项目(二次)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RDX-ZB2025第045号.1B1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汉中市南郑区森林草原湿地荒漠化普查项目(二次)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汉中市南郑区森林草原湿地荒漠化普查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2、法定代表人（或委托代理人）身份证明及授权委托书：法定代表人授权委托书（附法定代表人身份证复印件）及被授权委托人身份证（法定代表人参加投标只须提供法定代表人身份证）。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3、资质要求：具备行政主管部门颁发的林业调查规划设计乙级及以上资质。</w:t>
      </w:r>
    </w:p>
    <w:p>
      <w:pPr>
        <w:pStyle w:val="null3"/>
      </w:pPr>
      <w:r>
        <w:rPr>
          <w:rFonts w:ascii="仿宋_GB2312" w:hAnsi="仿宋_GB2312" w:cs="仿宋_GB2312" w:eastAsia="仿宋_GB2312"/>
        </w:rPr>
        <w:t>4、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南郑区汉山街道办事处南环路2号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汉中市南郑区林业局经办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13991605160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陕西容德轩项目管理有限公司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陕西省汉中市汉台区陕西省汉中市汉台区南关正街汉上第一街12号楼23层09号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18149167567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开户名称：陕西容德轩项目管理有限公司</w:t>
            </w:r>
          </w:p>
          <w:p>
            <w:pPr>
              <w:pStyle w:val="null3"/>
            </w:pPr>
            <w:r>
              <w:rPr>
                <w:rFonts w:ascii="仿宋_GB2312" w:hAnsi="仿宋_GB2312" w:cs="仿宋_GB2312" w:eastAsia="仿宋_GB2312"/>
              </w:rPr>
              <w:t>开户银行：中国工商银行汉中汉江路分理处</w:t>
            </w:r>
          </w:p>
          <w:p>
            <w:pPr>
              <w:pStyle w:val="null3"/>
            </w:pPr>
            <w:r>
              <w:rPr>
                <w:rFonts w:ascii="仿宋_GB2312" w:hAnsi="仿宋_GB2312" w:cs="仿宋_GB2312" w:eastAsia="仿宋_GB2312"/>
              </w:rPr>
              <w:t>银行账号：2606 0221 0920 0040 966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执行。 成交供应商在领取成交通知书前，须向采购代理机构一次性支付招标代理服务费。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汉中市南郑区林业局</w:t>
      </w:r>
      <w:r>
        <w:rPr>
          <w:rFonts w:ascii="仿宋_GB2312" w:hAnsi="仿宋_GB2312" w:cs="仿宋_GB2312" w:eastAsia="仿宋_GB2312"/>
        </w:rPr>
        <w:t>和</w:t>
      </w:r>
      <w:r>
        <w:rPr>
          <w:rFonts w:ascii="仿宋_GB2312" w:hAnsi="仿宋_GB2312" w:cs="仿宋_GB2312" w:eastAsia="仿宋_GB2312"/>
        </w:rPr>
        <w:t>陕西容德轩项目管理有限公司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陕西容德轩项目管理有限公司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陕西容德轩项目管理有限公司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符合国家、省、市相关的法规和规章以及采购人的要求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汉中市南郑区林业局</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陕西容德轩项目管理有限公司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陕西容德轩项目管理有限公司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联系人：李女士</w:t>
      </w:r>
    </w:p>
    <w:p>
      <w:pPr>
        <w:pStyle w:val="null3"/>
      </w:pPr>
      <w:r>
        <w:rPr>
          <w:rFonts w:ascii="仿宋_GB2312" w:hAnsi="仿宋_GB2312" w:cs="仿宋_GB2312" w:eastAsia="仿宋_GB2312"/>
        </w:rPr>
        <w:t>联系电话：18149167567</w:t>
      </w:r>
    </w:p>
    <w:p>
      <w:pPr>
        <w:pStyle w:val="null3"/>
      </w:pPr>
      <w:r>
        <w:rPr>
          <w:rFonts w:ascii="仿宋_GB2312" w:hAnsi="仿宋_GB2312" w:cs="仿宋_GB2312" w:eastAsia="仿宋_GB2312"/>
        </w:rPr>
        <w:t>地址：汉中市汉台区南关正街汉上第一街12号楼23层09号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南郑区森林草原湿地荒漠化普查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730,000.00</w:t>
      </w:r>
    </w:p>
    <w:p>
      <w:pPr>
        <w:pStyle w:val="null3"/>
      </w:pPr>
      <w:r>
        <w:rPr>
          <w:rFonts w:ascii="仿宋_GB2312" w:hAnsi="仿宋_GB2312" w:cs="仿宋_GB2312" w:eastAsia="仿宋_GB2312"/>
        </w:rPr>
        <w:t>采购包最高限价（元）: 730,000.00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森林草原湿地荒漠化普查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标的名称：森林草原湿地荒漠化普查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4"/>
              </w:rPr>
              <w:t>一、项目概况</w:t>
            </w:r>
          </w:p>
          <w:p>
            <w:pPr>
              <w:pStyle w:val="null3"/>
              <w:ind w:firstLine="480"/>
            </w:pPr>
            <w:r>
              <w:rPr>
                <w:rFonts w:ascii="仿宋_GB2312" w:hAnsi="仿宋_GB2312" w:cs="仿宋_GB2312" w:eastAsia="仿宋_GB2312"/>
                <w:sz w:val="24"/>
              </w:rPr>
              <w:t>开展国土调查与林草湿调查地类专项对接</w:t>
            </w:r>
            <w:r>
              <w:rPr>
                <w:rFonts w:ascii="仿宋_GB2312" w:hAnsi="仿宋_GB2312" w:cs="仿宋_GB2312" w:eastAsia="仿宋_GB2312"/>
                <w:sz w:val="24"/>
              </w:rPr>
              <w:t>(以下简称“地类对接”)，全面解决国家下发我区林草湿调查监测植被覆盖类型与国土调查二级地类不一致问题图斑36815个。坚持统一底版、统一标准、统一时点，查清全区范围内森林草原湿地资源的数量、质量、结构及其管理等情况，进一步丰富自然资源调查成果，深化完善“三调”一张图，为森林草原湿地管理、造林绿化适宜空间评估、林草地耕地空间布局优化、编制“十五五”规划、支撑森林草原湿地保护发展、推动林草事业高质量发展等提供基础数据。</w:t>
            </w:r>
          </w:p>
          <w:p>
            <w:pPr>
              <w:pStyle w:val="null3"/>
              <w:ind w:firstLine="480"/>
            </w:pPr>
            <w:r>
              <w:rPr>
                <w:rFonts w:ascii="仿宋_GB2312" w:hAnsi="仿宋_GB2312" w:cs="仿宋_GB2312" w:eastAsia="仿宋_GB2312"/>
                <w:sz w:val="24"/>
              </w:rPr>
              <w:t>二、工作任务</w:t>
            </w:r>
          </w:p>
          <w:p>
            <w:pPr>
              <w:pStyle w:val="null3"/>
              <w:ind w:firstLine="480"/>
            </w:pPr>
            <w:r>
              <w:rPr>
                <w:rFonts w:ascii="仿宋_GB2312" w:hAnsi="仿宋_GB2312" w:cs="仿宋_GB2312" w:eastAsia="仿宋_GB2312"/>
                <w:sz w:val="24"/>
              </w:rPr>
              <w:t>(一)地类普查工作。以国家逐级下发的预判图斑为对象，依据《国土空间调查、规划、用途管制用地用海分类指南》的统一标准，按照国土调查以实地现状认定地类原则，对预判结果逐一核实确认和调查举证，区级将地类核实确认结果逐级上报审核确认。不一致图斑地类经国家核实确认后及时纳入年度国土变更调查成果。叠加影像区划新增变化小班，逐图斑认定地类填写植被覆盖类型，与规资局共同审核。认定一致图斑上传。</w:t>
            </w:r>
          </w:p>
          <w:p>
            <w:pPr>
              <w:pStyle w:val="null3"/>
              <w:ind w:firstLine="480"/>
            </w:pPr>
            <w:r>
              <w:rPr>
                <w:rFonts w:ascii="仿宋_GB2312" w:hAnsi="仿宋_GB2312" w:cs="仿宋_GB2312" w:eastAsia="仿宋_GB2312"/>
                <w:sz w:val="24"/>
              </w:rPr>
              <w:t>(二)开展图斑区划、完善图斑属性。以最新年度国土变更调查成果为基础，参考有关调查成果，基于数字正射影像图，开展图斑区划。采取样地调查、遥感监测、档案更新、补充调查、现地核实等多种方法，摸清林草湿资源数量、质量、结构等情况。落实经营管理单位界线、非林地上森林植被覆盖标记。</w:t>
            </w:r>
          </w:p>
          <w:p>
            <w:pPr>
              <w:pStyle w:val="null3"/>
              <w:ind w:firstLine="480"/>
            </w:pPr>
            <w:r>
              <w:rPr>
                <w:rFonts w:ascii="仿宋_GB2312" w:hAnsi="仿宋_GB2312" w:cs="仿宋_GB2312" w:eastAsia="仿宋_GB2312"/>
                <w:sz w:val="24"/>
              </w:rPr>
              <w:t>(三)标注管理属性、落实造林空间。按照自然资源部、国家林业和草原局《关于以第三次全国国土调查成果为基础明确林地管理边界规范林地管理的通知》(自然资发〔2023〕53号)要求，落实管理属性和管理边界。以统一地类对接完成后的年度国土变更调查成果中的二级地类图斑为基础，调查并标记可造林绿化的图斑。</w:t>
            </w:r>
          </w:p>
          <w:p>
            <w:pPr>
              <w:pStyle w:val="null3"/>
              <w:ind w:firstLine="480"/>
            </w:pPr>
            <w:r>
              <w:rPr>
                <w:rFonts w:ascii="仿宋_GB2312" w:hAnsi="仿宋_GB2312" w:cs="仿宋_GB2312" w:eastAsia="仿宋_GB2312"/>
                <w:sz w:val="24"/>
              </w:rPr>
              <w:t>（四）生成成果数据库及统计表。森林草原湿地普查和荒漠化沙化调查监测数据库。包括遥感影像数据库以及森林草原湿地普查和荒漠化沙化调查监测成果数据库。森林草原湿地普查和荒漠化沙化调查监测基础支撑数据库。包括基础数表、计量模型及参数数据库。</w:t>
            </w:r>
          </w:p>
          <w:p>
            <w:pPr>
              <w:pStyle w:val="null3"/>
              <w:ind w:firstLine="480"/>
            </w:pPr>
            <w:r>
              <w:rPr>
                <w:rFonts w:ascii="仿宋_GB2312" w:hAnsi="仿宋_GB2312" w:cs="仿宋_GB2312" w:eastAsia="仿宋_GB2312"/>
                <w:sz w:val="24"/>
              </w:rPr>
              <w:t>森林草原湿地普查和荒漠化沙化查监测成果统计表。包括反映森林草原湿地保护利用状况、林草植被状况、森林草原湿地生产力，以及荒漠化沙化可治理沙化土地及沙化土地治理情况等一系列成果统计表。</w:t>
            </w:r>
          </w:p>
          <w:p>
            <w:pPr>
              <w:pStyle w:val="null3"/>
              <w:ind w:firstLine="480"/>
            </w:pPr>
            <w:r>
              <w:rPr>
                <w:rFonts w:ascii="仿宋_GB2312" w:hAnsi="仿宋_GB2312" w:cs="仿宋_GB2312" w:eastAsia="仿宋_GB2312"/>
                <w:sz w:val="24"/>
              </w:rPr>
              <w:t>三、成果提交</w:t>
            </w:r>
          </w:p>
          <w:p>
            <w:pPr>
              <w:pStyle w:val="null3"/>
              <w:ind w:firstLine="480"/>
            </w:pPr>
            <w:r>
              <w:rPr>
                <w:rFonts w:ascii="仿宋_GB2312" w:hAnsi="仿宋_GB2312" w:cs="仿宋_GB2312" w:eastAsia="仿宋_GB2312"/>
                <w:sz w:val="24"/>
              </w:rPr>
              <w:t>（一）成果包括：汉中市南郑区森林草原湿地荒漠化普查项目</w:t>
            </w:r>
            <w:r>
              <w:rPr>
                <w:rFonts w:ascii="仿宋_GB2312" w:hAnsi="仿宋_GB2312" w:cs="仿宋_GB2312" w:eastAsia="仿宋_GB2312"/>
                <w:sz w:val="24"/>
              </w:rPr>
              <w:t>数据库、统计表、专题图、成果报告。</w:t>
            </w:r>
          </w:p>
          <w:p>
            <w:pPr>
              <w:pStyle w:val="null3"/>
              <w:ind w:firstLine="480"/>
            </w:pPr>
            <w:r>
              <w:rPr>
                <w:rFonts w:ascii="仿宋_GB2312" w:hAnsi="仿宋_GB2312" w:cs="仿宋_GB2312" w:eastAsia="仿宋_GB2312"/>
                <w:sz w:val="24"/>
              </w:rPr>
              <w:t>（二）成果交付要求</w:t>
            </w:r>
          </w:p>
          <w:p>
            <w:pPr>
              <w:pStyle w:val="null3"/>
              <w:ind w:firstLine="480"/>
            </w:pPr>
            <w:r>
              <w:rPr>
                <w:rFonts w:ascii="仿宋_GB2312" w:hAnsi="仿宋_GB2312" w:cs="仿宋_GB2312" w:eastAsia="仿宋_GB2312"/>
                <w:sz w:val="24"/>
              </w:rPr>
              <w:t>1、成果文件的格式要求：纸质版及电子版。</w:t>
            </w:r>
          </w:p>
          <w:p>
            <w:pPr>
              <w:pStyle w:val="null3"/>
              <w:ind w:firstLine="480"/>
            </w:pPr>
            <w:r>
              <w:rPr>
                <w:rFonts w:ascii="仿宋_GB2312" w:hAnsi="仿宋_GB2312" w:cs="仿宋_GB2312" w:eastAsia="仿宋_GB2312"/>
                <w:sz w:val="24"/>
              </w:rPr>
              <w:t>2、成果文件的份数要求：纸质版各 4 套，电子版 2 份。</w:t>
            </w:r>
          </w:p>
          <w:p>
            <w:pPr>
              <w:pStyle w:val="null3"/>
              <w:ind w:firstLine="480"/>
            </w:pPr>
            <w:r>
              <w:rPr>
                <w:rFonts w:ascii="仿宋_GB2312" w:hAnsi="仿宋_GB2312" w:cs="仿宋_GB2312" w:eastAsia="仿宋_GB2312"/>
                <w:sz w:val="24"/>
              </w:rPr>
              <w:t>3、成果文件的载体要求： ①纸质版的要求：应当加盖单位章； ②电子版的要求：图纸：CAD 或 PDF 格式；报告：word 格式，并应使用U盘贮存。</w:t>
            </w:r>
          </w:p>
          <w:p>
            <w:pPr>
              <w:pStyle w:val="null3"/>
              <w:ind w:firstLine="480"/>
            </w:pPr>
            <w:r>
              <w:rPr>
                <w:rFonts w:ascii="仿宋_GB2312" w:hAnsi="仿宋_GB2312" w:cs="仿宋_GB2312" w:eastAsia="仿宋_GB2312"/>
                <w:sz w:val="24"/>
              </w:rPr>
              <w:t>四、服务要求</w:t>
            </w:r>
          </w:p>
          <w:p>
            <w:pPr>
              <w:pStyle w:val="null3"/>
              <w:ind w:firstLine="480"/>
            </w:pPr>
            <w:r>
              <w:rPr>
                <w:rFonts w:ascii="仿宋_GB2312" w:hAnsi="仿宋_GB2312" w:cs="仿宋_GB2312" w:eastAsia="仿宋_GB2312"/>
                <w:sz w:val="24"/>
              </w:rPr>
              <w:t>1.质量要求：符合国省市县相关技术标准、规范要求，质量合格。</w:t>
            </w:r>
          </w:p>
          <w:p>
            <w:pPr>
              <w:pStyle w:val="null3"/>
              <w:ind w:firstLine="480"/>
            </w:pPr>
            <w:r>
              <w:rPr>
                <w:rFonts w:ascii="仿宋_GB2312" w:hAnsi="仿宋_GB2312" w:cs="仿宋_GB2312" w:eastAsia="仿宋_GB2312"/>
                <w:sz w:val="24"/>
              </w:rPr>
              <w:t>2.服务期限：自合同签订之日起60日历天提交成果文件并通过验收</w:t>
            </w:r>
            <w:r>
              <w:rPr>
                <w:rFonts w:ascii="仿宋_GB2312" w:hAnsi="仿宋_GB2312" w:cs="仿宋_GB2312" w:eastAsia="仿宋_GB2312"/>
                <w:sz w:val="24"/>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按照采购文件要求执行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按照采购文件要求执行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按照采购文件要求执行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自合同签订之日起60日历天提交成果文件并通过验收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汉中市南郑区，采购人指定地点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由甲方负责组织验收，或者邀请有关专家等进行验收，并填写政府采购项目验收报告单。验收须以合同、磋商文件及响应文件、澄清及国家相应的标准、规范等为依据。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成果提交后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法定代表人（或委托代理人）身份证明及授权委托书</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具备行政主管部门颁发的林业调查规划设计乙级及以上资质。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响应文件上法定代表人或其授权代表的签字齐全并加盖单位章</w:t>
            </w:r>
          </w:p>
        </w:tc>
        <w:tc>
          <w:tcPr>
            <w:tcW w:type="dxa" w:w="1661"/>
          </w:tcPr>
          <w:p>
            <w:pPr>
              <w:pStyle w:val="null3"/>
            </w:pPr>
            <w:r>
              <w:rPr>
                <w:rFonts w:ascii="仿宋_GB2312" w:hAnsi="仿宋_GB2312" w:cs="仿宋_GB2312" w:eastAsia="仿宋_GB2312"/>
              </w:rPr>
              <w:t>磋商保证金.docx 服务内容及服务邀请应答表 中小企业声明函 商务应答表 其他证明材料.docx 报价表 响应文件封面 供应商应提交的相关资格证明材料.docx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只能有一个有效报价，不得提交选择性报价，且报价不超过采购预算（最高限价）金额</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服务质量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供应商应按采购文件约定交纳磋商保证金，并提供采购代理机构出具的保证金缴纳收据证明</w:t>
            </w:r>
          </w:p>
        </w:tc>
        <w:tc>
          <w:tcPr>
            <w:tcW w:type="dxa" w:w="1661"/>
          </w:tcPr>
          <w:p>
            <w:pPr>
              <w:pStyle w:val="null3"/>
            </w:pPr>
            <w:r>
              <w:rPr>
                <w:rFonts w:ascii="仿宋_GB2312" w:hAnsi="仿宋_GB2312" w:cs="仿宋_GB2312" w:eastAsia="仿宋_GB2312"/>
              </w:rPr>
              <w:t>磋商保证金.docx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提供2022年1月1日至今同类项目业绩，每提供一个得2分，满分10分。 评审依据：以供应商提供的合同或中标通知书复印件加盖公章为准，未提供不得分。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拟派项目负责人具备相关专业高级及以上技术职称得5分，中级职称得 3 分。 评审依据：以供应商提供的项目负责人身份证、职称证书复印件加盖公章为准，未提供不得分。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项目组成人员（除项目负责人外），拟派参与本项目的人员中，具有中级及以上职称的每个得 2 分，初级职称的每个得1分。本项最多得10 分。 评审依据：以供应商提供的项目负责人身份证、职称证书复印件加盖公章为准，未提供不得分。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针对本项目的特点提供总体的服务方案，内容包含：①普查方式和目标 ②资料收集与整理方案 ③普查流程 ④地类对接方案 ⑤图斑区划方案 ⑥图斑调查核实方案 ⑦成果自检方案。 七项内容，每项方案计3分，七项合计满分为21分。方案各部分内容全面详细、阐述条理清晰详尽、符合本项目采购需求、具有针对性，能有效保障本项目实施的计3分，内容总体完整、可实施且逻辑通顺的计2分；方案基本完整为一般通用方案的计1分；方案描述不符合本项目实际情况，存在明显套用其他项目方案的内容，内容空洞，存在逻辑漏洞、常识错误或合理性差得0-0.5分；未提供方案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作业培训方案</w:t>
            </w:r>
          </w:p>
        </w:tc>
        <w:tc>
          <w:tcPr>
            <w:tcW w:type="dxa" w:w="2492"/>
          </w:tcPr>
          <w:p>
            <w:pPr>
              <w:pStyle w:val="null3"/>
            </w:pPr>
            <w:r>
              <w:rPr>
                <w:rFonts w:ascii="仿宋_GB2312" w:hAnsi="仿宋_GB2312" w:cs="仿宋_GB2312" w:eastAsia="仿宋_GB2312"/>
              </w:rPr>
              <w:t>针对本项目的特点提供作业培训方案，内容包含：①作业培训 ②普查重难点培训 ③安全及应急培训。 三项内容，每项方案计3分，三项合计满分为9分。方案各部分内容全面详细、阐述条理清晰详尽、符合本项目采购需求、具有针对性，能有效保障本项目实施的计3分，内容总体完整、可实施且逻辑通顺的计2分；方案基本完整为一般通用方案的计1分；方案描述不符合本项目实际情况，存在明显套用其他项目方案的内容，内容空洞，存在逻辑漏洞、常识错误或合理性差得0-0.5分；未提供方案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针对本项目提供完整、合理、详细质量保证措施，内容包含：①建立质量控制体系 ②服务质量监督考核办法、奖惩制定、问责机制工作制度完备 ③成果质量保障措施 ④问题预防措施。 四项内容，每项方案计3分，四项合计满分为12分。方案各部分内容全面详细、阐述条理清晰详尽、符合本项目采购需求、具有针对性，能有效保障本项目实施的计3分，内容总体完整、可实施且逻辑通顺的计2分；方案基本完整为一般通用方案的计1分；方案描述不符合本项目实际情况，存在明显套用其他项目方案的内容，内容空洞，存在逻辑漏洞、常识错误或合理性差得0-0.5分；未提供方案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针对本项目提供完整、合理、详细进度保证措施，内容包含：①工作进度安排 ②项目组织架构 ③人员配备分工 ④设备投入计划及管理措施。 四项内容，每项方案计3分，四项合计满分为12分。方案各部分内容全面详细、阐述条理清晰详尽、符合本项目采购需求、具有针对性，能有效保障本项目实施的计3分，内容总体完整、可实施且逻辑通顺的计2分；方案基本完整为一般通用方案的计1分；方案描述不符合本项目实际情况，存在明显套用其他项目方案的内容，内容空洞，存在逻辑漏洞、常识错误或合理性差得0-0.5分；未提供方案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针对本项目提供完整、合理、详细应急预案，内容包含：①可能遇到的实际问题调研、分析、解决方案 ②突发事件应急保障预案。 二项内容，每项方案计3分，二项合计满分为6分。方案各部分内容全面详细、阐述条理清晰详尽、符合本项目采购需求、具有针对性，能有效保障本项目实施的计3分，内容总体完整、可实施且逻辑通顺的计2分；方案基本完整为一般通用方案的计1分；方案描述不符合本项目实际情况，存在明显套用其他项目方案的内容，内容空洞，存在逻辑漏洞、常识错误或合理性差得0-0.5分；未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磋商报价得分=（磋商基准价/最终磋商报价）×价格权值×100 （因落实政府采购政策进行价格调整的，以调整后的价格计算评标基准价和磋商报价）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