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95514">
      <w:pPr>
        <w:spacing w:beforeLines="50" w:line="600" w:lineRule="auto"/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2</w:t>
      </w:r>
      <w:r>
        <w:rPr>
          <w:rFonts w:hint="eastAsia" w:ascii="宋体" w:hAnsi="宋体" w:eastAsia="宋体" w:cs="宋体"/>
          <w:b/>
          <w:bCs/>
          <w:sz w:val="36"/>
          <w:szCs w:val="36"/>
          <w:u w:val="single"/>
          <w:lang w:eastAsia="zh-CN"/>
        </w:rPr>
        <w:t>025年现代职业教育质量提升男女生公寓楼维修及校园文化建设项目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工程量清单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编制说明</w:t>
      </w:r>
    </w:p>
    <w:p w14:paraId="1CA19C4B">
      <w:pPr>
        <w:numPr>
          <w:ilvl w:val="0"/>
          <w:numId w:val="1"/>
        </w:numPr>
        <w:spacing w:beforeLines="50" w:line="600" w:lineRule="auto"/>
        <w:jc w:val="both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工程概况：</w:t>
      </w:r>
    </w:p>
    <w:p w14:paraId="0B891653">
      <w:pPr>
        <w:numPr>
          <w:ilvl w:val="0"/>
          <w:numId w:val="0"/>
        </w:numPr>
        <w:spacing w:beforeLines="50" w:line="600" w:lineRule="auto"/>
        <w:jc w:val="both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 主要建设内容为男生公寓楼与女生公寓楼自流平地面处理、男女生公寓楼安装双层架子床400套、男女公寓楼184道窗帘安装等。</w:t>
      </w:r>
    </w:p>
    <w:p w14:paraId="717FE9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textAlignment w:val="auto"/>
        <w:outlineLvl w:val="9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b/>
          <w:sz w:val="28"/>
          <w:szCs w:val="28"/>
        </w:rPr>
        <w:t>、编制依据：</w:t>
      </w:r>
    </w:p>
    <w:p w14:paraId="54AAD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建设工程工程量清单计价计算标准（2025）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房屋建筑与装饰工程基价表（2025）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通用安装工程基价表（2025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》、《陕西省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建设工程工程量清单计价计算标准（2025）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》等及相关取费文件；</w:t>
      </w:r>
    </w:p>
    <w:p w14:paraId="74961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、陕建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管</w:t>
      </w:r>
      <w:r>
        <w:rPr>
          <w:rFonts w:hint="eastAsia" w:ascii="仿宋" w:hAnsi="仿宋" w:eastAsia="仿宋" w:cs="仿宋"/>
          <w:sz w:val="28"/>
          <w:szCs w:val="28"/>
        </w:rPr>
        <w:t>发〔20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</w:rPr>
        <w:t>号陕西省住房和城乡建设厅关于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印发2025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陕西省建设工程费用规则等计价依据的通知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538B2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65" w:firstLineChars="202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6、陕建发</w:t>
      </w:r>
      <w:r>
        <w:rPr>
          <w:rFonts w:hint="eastAsia" w:ascii="仿宋" w:hAnsi="仿宋" w:eastAsia="仿宋" w:cs="仿宋"/>
          <w:sz w:val="28"/>
          <w:szCs w:val="28"/>
        </w:rPr>
        <w:t>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2019</w:t>
      </w:r>
      <w:r>
        <w:rPr>
          <w:rFonts w:hint="eastAsia" w:ascii="仿宋" w:hAnsi="仿宋" w:eastAsia="仿宋" w:cs="仿宋"/>
          <w:sz w:val="28"/>
          <w:szCs w:val="28"/>
        </w:rPr>
        <w:t>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1246</w:t>
      </w:r>
      <w:r>
        <w:rPr>
          <w:rFonts w:hint="eastAsia" w:ascii="仿宋" w:hAnsi="仿宋" w:eastAsia="仿宋" w:cs="仿宋"/>
          <w:sz w:val="28"/>
          <w:szCs w:val="28"/>
        </w:rPr>
        <w:t>号陕西省住房和城乡建设厅关于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我省落实建筑工人实名制管理计价依据的通知；</w:t>
      </w:r>
    </w:p>
    <w:p w14:paraId="07591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565" w:firstLineChars="202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参照2025年10月《汉中建设工程造价信息》南郑区材料价格工程材料价格信息表中提供的价格进入预算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Theme="minorEastAsia" w:hAnsiTheme="minorEastAsia" w:cstheme="minorEastAsia"/>
          <w:color w:val="000000"/>
          <w:w w:val="90"/>
          <w:sz w:val="28"/>
          <w:szCs w:val="28"/>
        </w:rPr>
        <w:t xml:space="preserve"> </w:t>
      </w:r>
    </w:p>
    <w:p w14:paraId="59902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/>
        <w:textAlignment w:val="auto"/>
        <w:outlineLvl w:val="9"/>
        <w:rPr>
          <w:rFonts w:hint="default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、计价软件：广联达云计价平台GCCP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.0</w:t>
      </w:r>
    </w:p>
    <w:p w14:paraId="74B1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right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8"/>
          <w:szCs w:val="28"/>
          <w:lang w:val="en-US" w:eastAsia="zh-CN" w:bidi="ar-SA"/>
        </w:rPr>
        <w:t xml:space="preserve">                               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嘉翔项目管理有限公司</w:t>
      </w:r>
    </w:p>
    <w:p w14:paraId="288CB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both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                                        2025年11月24日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DF4CC7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2605405</wp:posOffset>
              </wp:positionH>
              <wp:positionV relativeFrom="paragraph">
                <wp:posOffset>-158115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44AE8A">
                          <w:pPr>
                            <w:pStyle w:val="2"/>
                            <w:rPr>
                              <w:rFonts w:ascii="仿宋" w:hAnsi="仿宋" w:eastAsia="仿宋" w:cs="仿宋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15pt;margin-top:-12.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N68gpNgAAAAL&#10;AQAADwAAAGRycy9kb3ducmV2LnhtbE2Py07DMBBF90j8gzVI7Fo7D0VtiFOJirBEomHB0o2HJBDb&#10;ke2m4e8ZVrCcmaM751aH1UxsQR9GZyUkWwEMbef0aHsJb22z2QELUVmtJmdRwjcGONS3N5Uqtbva&#10;V1xOsWcUYkOpJAwxziXnoRvQqLB1M1q6fThvVKTR91x7daVwM/FUiIIbNVr6MKgZjwN2X6eLkXBs&#10;2tYvGPz0js9N9vnymOPTKuX9XSIegEVc4x8Mv/qkDjU5nd3F6sAmCXkiMkIlbNJ8D4yIYr+jzVlC&#10;WmQJ8Lri/zvUP1BLAwQUAAAACACHTuJAvXQbdjcCAABvBAAADgAAAGRycy9lMm9Eb2MueG1srVTN&#10;jtMwEL4j8Q6W7zRpEasqaroqWxUhVexKBXF2HaeJ5D/ZbpPyAPAGnLhw57n6HHzOTxctHPbAxRl7&#10;xt/M9804i9tWSXISztdG53Q6SSkRmpui1oecfvq4eTWnxAemCyaNFjk9C09vly9fLBqbiZmpjCyE&#10;IwDRPmtsTqsQbJYknldCMT8xVmg4S+MUC9i6Q1I41gBdyWSWpjdJY1xhneHCe5yueycdEN1zAE1Z&#10;1lysDT8qoUOP6oRkAZR8VVtPl121ZSl4uC9LLwKROQXT0K1IAnsf12S5YNnBMVvVfCiBPaeEJ5wU&#10;qzWSXqHWLDBydPVfUKrmznhThgk3KumJdIqAxTR9os2uYlZ0XCC1t1fR/f+D5R9OD47UBSaBEs0U&#10;Gn75/u3y49fl51cyjfI01meI2lnEhfataWPocO5xGFm3pVPxCz4Efoh7voor2kB4vDSfzecpXBy+&#10;cQOc5PG6dT68E0aRaOTUoXudqOy09aEPHUNiNm02tZQ4Z5nUpMnpzes3aXfh6gG41DFAdLMwwERK&#10;fenRCu2+HfjsTXEGTWf6OfGWb2qUsmU+PDCHwUD5eDrhHkspDVKawaKkMu7Lv85jPPoFLyUNBi2n&#10;Gu+KEvleo48ADKPhRmM/Gvqo7gwmF71BLZ2JCy7I0SydUZ/xnlYxB1xMc2TKaRjNu9APO94jF6tV&#10;F3S0rj5U/QVMoWVhq3eWxzRRKm9XxwBpO8WjQL0q6FTcYA67ng1vJg76n/su6vE/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N68gpNgAAAALAQAADwAAAAAAAAABACAAAAAiAAAAZHJzL2Rvd25y&#10;ZXYueG1sUEsBAhQAFAAAAAgAh07iQL10G3Y3AgAAbw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44AE8A">
                    <w:pPr>
                      <w:pStyle w:val="2"/>
                      <w:rPr>
                        <w:rFonts w:ascii="仿宋" w:hAnsi="仿宋" w:eastAsia="仿宋" w:cs="仿宋"/>
                      </w:rPr>
                    </w:pPr>
                    <w:r>
                      <w:rPr>
                        <w:rFonts w:hint="eastAsia" w:ascii="仿宋" w:hAnsi="仿宋" w:eastAsia="仿宋" w:cs="仿宋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A45C17"/>
    <w:multiLevelType w:val="singleLevel"/>
    <w:tmpl w:val="88A45C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hZDA3MjgwMTc5NDJhZmVkY2EyNWMxYzg3ZDcwMGUifQ=="/>
  </w:docVars>
  <w:rsids>
    <w:rsidRoot w:val="30B00C7D"/>
    <w:rsid w:val="000B7B40"/>
    <w:rsid w:val="00116FAB"/>
    <w:rsid w:val="001678A8"/>
    <w:rsid w:val="002B0EC3"/>
    <w:rsid w:val="00F81D99"/>
    <w:rsid w:val="01CB5A88"/>
    <w:rsid w:val="03FE766E"/>
    <w:rsid w:val="04414ECD"/>
    <w:rsid w:val="04512F4F"/>
    <w:rsid w:val="055073F7"/>
    <w:rsid w:val="05777328"/>
    <w:rsid w:val="080B3656"/>
    <w:rsid w:val="08FF39CC"/>
    <w:rsid w:val="0B5D0ACD"/>
    <w:rsid w:val="0B771FD8"/>
    <w:rsid w:val="0B9D1CC3"/>
    <w:rsid w:val="0D193CA7"/>
    <w:rsid w:val="0D683EF1"/>
    <w:rsid w:val="0DBF4317"/>
    <w:rsid w:val="127D0987"/>
    <w:rsid w:val="130778EC"/>
    <w:rsid w:val="16941C93"/>
    <w:rsid w:val="17E70AB9"/>
    <w:rsid w:val="1C456B57"/>
    <w:rsid w:val="1D5A6F96"/>
    <w:rsid w:val="1DE577D8"/>
    <w:rsid w:val="1EC93348"/>
    <w:rsid w:val="1EEB7616"/>
    <w:rsid w:val="20C4597D"/>
    <w:rsid w:val="21735DB7"/>
    <w:rsid w:val="228E6A16"/>
    <w:rsid w:val="231E137D"/>
    <w:rsid w:val="23283925"/>
    <w:rsid w:val="25D23F55"/>
    <w:rsid w:val="273F123C"/>
    <w:rsid w:val="27855B01"/>
    <w:rsid w:val="27EC356B"/>
    <w:rsid w:val="2853047E"/>
    <w:rsid w:val="2A513977"/>
    <w:rsid w:val="2AF01E14"/>
    <w:rsid w:val="2B36058B"/>
    <w:rsid w:val="2B805FD7"/>
    <w:rsid w:val="2DDD1598"/>
    <w:rsid w:val="30B00C7D"/>
    <w:rsid w:val="31C13ACC"/>
    <w:rsid w:val="31FB6829"/>
    <w:rsid w:val="323F6023"/>
    <w:rsid w:val="336607B7"/>
    <w:rsid w:val="33E561D7"/>
    <w:rsid w:val="36486147"/>
    <w:rsid w:val="3C1F3B06"/>
    <w:rsid w:val="3C45674C"/>
    <w:rsid w:val="3DC41F54"/>
    <w:rsid w:val="3E030E5D"/>
    <w:rsid w:val="409941CE"/>
    <w:rsid w:val="4128765C"/>
    <w:rsid w:val="42AC569D"/>
    <w:rsid w:val="437547F8"/>
    <w:rsid w:val="43BE5F59"/>
    <w:rsid w:val="4465276B"/>
    <w:rsid w:val="45A575B4"/>
    <w:rsid w:val="45EE3206"/>
    <w:rsid w:val="46D408F4"/>
    <w:rsid w:val="46F6476A"/>
    <w:rsid w:val="47C25F0A"/>
    <w:rsid w:val="48BF0254"/>
    <w:rsid w:val="492751F1"/>
    <w:rsid w:val="4ABB40F0"/>
    <w:rsid w:val="4B434ADB"/>
    <w:rsid w:val="4BE2242F"/>
    <w:rsid w:val="4C7E74D7"/>
    <w:rsid w:val="4EB16D9B"/>
    <w:rsid w:val="4F413C8B"/>
    <w:rsid w:val="50FA1E57"/>
    <w:rsid w:val="51254CB2"/>
    <w:rsid w:val="52473704"/>
    <w:rsid w:val="531E6FFD"/>
    <w:rsid w:val="53BE6822"/>
    <w:rsid w:val="55513CC6"/>
    <w:rsid w:val="55F93E8B"/>
    <w:rsid w:val="56BE365C"/>
    <w:rsid w:val="58E14EC0"/>
    <w:rsid w:val="5BB20A6A"/>
    <w:rsid w:val="5C9254BB"/>
    <w:rsid w:val="5DF20D59"/>
    <w:rsid w:val="6087584D"/>
    <w:rsid w:val="61743FA7"/>
    <w:rsid w:val="666E69B1"/>
    <w:rsid w:val="69182BF9"/>
    <w:rsid w:val="69EA1CE8"/>
    <w:rsid w:val="6AE75F15"/>
    <w:rsid w:val="6B3F0A0C"/>
    <w:rsid w:val="6BDC682E"/>
    <w:rsid w:val="6C2C1AD8"/>
    <w:rsid w:val="6E6F4406"/>
    <w:rsid w:val="6E765D6B"/>
    <w:rsid w:val="6EB06C76"/>
    <w:rsid w:val="6F130E20"/>
    <w:rsid w:val="6F187DEC"/>
    <w:rsid w:val="70223706"/>
    <w:rsid w:val="71AD019B"/>
    <w:rsid w:val="72B15531"/>
    <w:rsid w:val="72CC76BD"/>
    <w:rsid w:val="7414066C"/>
    <w:rsid w:val="741D20EC"/>
    <w:rsid w:val="74C6202C"/>
    <w:rsid w:val="74CA6436"/>
    <w:rsid w:val="77192CF0"/>
    <w:rsid w:val="7ABD5205"/>
    <w:rsid w:val="7B0557D0"/>
    <w:rsid w:val="7BDB362D"/>
    <w:rsid w:val="7C017E66"/>
    <w:rsid w:val="7E0E78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383</Words>
  <Characters>430</Characters>
  <Lines>6</Lines>
  <Paragraphs>1</Paragraphs>
  <TotalTime>25</TotalTime>
  <ScaleCrop>false</ScaleCrop>
  <LinksUpToDate>false</LinksUpToDate>
  <CharactersWithSpaces>549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2020-04-03T03:24:00Z</dcterms:created>
  <dc:creator>Administrator</dc:creator>
  <cp:lastModifiedBy>勿忘初心</cp:lastModifiedBy>
  <cp:lastPrinted>2025-03-27T07:35:00Z</cp:lastPrinted>
  <dcterms:modified xsi:type="dcterms:W3CDTF">2025-11-27T02:58:51Z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C1DB511FD23740CAB29FBB8E37BB4DC6_13</vt:lpwstr>
  </property>
  <property fmtid="{D5CDD505-2E9C-101B-9397-08002B2CF9AE}" pid="4" name="KSOTemplateDocerSaveRecord">
    <vt:lpwstr>eyJoZGlkIjoiNTljMzgyZWM4ODViZGI5YjQ4N2I3OWMwNDZhYTRmYjgiLCJ1c2VySWQiOiIzMTA4ODA1NTkifQ==</vt:lpwstr>
  </property>
</Properties>
</file>