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版本号：TZZB-HZ-2025344C20251203002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南郑区猕猴桃标准化果园建设提升（水肥一体化建设、猕猴桃棚架改造、购置机械设备、高架牵引)</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TZZB-HZ-2025344C</w:t>
      </w:r>
      <w:r>
        <w:br/>
      </w:r>
      <w:r>
        <w:br/>
      </w:r>
      <w:r>
        <w:br/>
      </w:r>
    </w:p>
    <w:p>
      <w:pPr>
        <w:pStyle w:val="null3"/>
        <w:jc w:val="center"/>
        <w:outlineLvl w:val="2"/>
      </w:pPr>
      <w:r>
        <w:rPr>
          <w:rFonts w:ascii="仿宋_GB2312" w:hAnsi="仿宋_GB2312" w:cs="仿宋_GB2312" w:eastAsia="仿宋_GB2312"/>
          <w:sz w:val="28"/>
          <w:b/>
        </w:rPr>
        <w:t>汉中市南郑区蚕茶果技术推广中心</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汉中市南郑区蚕茶果技术推广中心</w:t>
      </w:r>
      <w:r>
        <w:rPr>
          <w:rFonts w:ascii="仿宋_GB2312" w:hAnsi="仿宋_GB2312" w:cs="仿宋_GB2312" w:eastAsia="仿宋_GB2312"/>
        </w:rPr>
        <w:t>委托，拟对</w:t>
      </w:r>
      <w:r>
        <w:rPr>
          <w:rFonts w:ascii="仿宋_GB2312" w:hAnsi="仿宋_GB2312" w:cs="仿宋_GB2312" w:eastAsia="仿宋_GB2312"/>
        </w:rPr>
        <w:t>南郑区猕猴桃标准化果园建设提升（水肥一体化建设、猕猴桃棚架改造、购置机械设备、高架牵引)</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TZZB-HZ-2025344C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南郑区猕猴桃标准化果园建设提升（水肥一体化建设、猕猴桃棚架改造、购置机械设备、高架牵引)</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南郑区猕猴桃标准化果园建设提升（水肥一体化建设、猕猴桃棚架改造、购置机械设备、高架牵引)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采购包1（南郑区猕猴桃标准化果园建设提升（水肥一体化建设、猕猴桃棚架改造、购置机械设备、高架牵引)）：属于专门面向中小企业采购。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1、汉中市政府采购供应商资格承诺函：供应商须提供《汉中市政府采购供应商资格承诺函》。</w:t>
      </w:r>
    </w:p>
    <w:p>
      <w:pPr>
        <w:pStyle w:val="null3"/>
      </w:pPr>
      <w:r>
        <w:rPr>
          <w:rFonts w:ascii="仿宋_GB2312" w:hAnsi="仿宋_GB2312" w:cs="仿宋_GB2312" w:eastAsia="仿宋_GB2312"/>
        </w:rPr>
        <w:t>2、有效的主体资格证明 ：供应商为具有独立承担民事责任能力的企业法人、负责人或其他组织或自然人，并出具有效的营业执照或证明文件或自然人的身份证明。</w:t>
      </w:r>
    </w:p>
    <w:p>
      <w:pPr>
        <w:pStyle w:val="null3"/>
      </w:pPr>
      <w:r>
        <w:rPr>
          <w:rFonts w:ascii="仿宋_GB2312" w:hAnsi="仿宋_GB2312" w:cs="仿宋_GB2312" w:eastAsia="仿宋_GB2312"/>
        </w:rPr>
        <w:t>3、授权代表身份证明：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4、企业资质要求：供应商须具有水利水电工程施工总承包三级及以上资质，并具有有效的安全生产许可证。</w:t>
      </w:r>
    </w:p>
    <w:p>
      <w:pPr>
        <w:pStyle w:val="null3"/>
      </w:pPr>
      <w:r>
        <w:rPr>
          <w:rFonts w:ascii="仿宋_GB2312" w:hAnsi="仿宋_GB2312" w:cs="仿宋_GB2312" w:eastAsia="仿宋_GB2312"/>
        </w:rPr>
        <w:t>5、项目经理资质要求：拟派本项目的项目经理须具备水利水电工程专业二级及以上注册建造师，并持有效的安全生产考核合格证书，且无在建工程(出具无在建承诺书）。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汉中市南郑区蚕茶果技术推广中心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南郑县汉山街道办东大街37号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0916-5512582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银行账号：61050165520000000101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汉中市南郑区蚕茶果技术推广中心</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汉中市南郑区蚕茶果技术推广中心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汉中市南郑区蚕茶果技术推广中心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693,951.95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猕猴桃标准化果园建设提升（水肥一体化建设猕猴桃棚架改造、购置机械设备、高架牵引)</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标的名称：猕猴桃标准化果园建设提升（水肥一体化建设猕猴桃棚架改造、购置机械设备、高架牵引)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18"/>
                <w:b/>
              </w:rPr>
              <w:t>一、工程概况：</w:t>
            </w:r>
          </w:p>
          <w:p>
            <w:pPr>
              <w:pStyle w:val="null3"/>
              <w:ind w:firstLine="480"/>
              <w:jc w:val="both"/>
            </w:pPr>
            <w:r>
              <w:rPr>
                <w:rFonts w:ascii="仿宋_GB2312" w:hAnsi="仿宋_GB2312" w:cs="仿宋_GB2312" w:eastAsia="仿宋_GB2312"/>
                <w:sz w:val="18"/>
              </w:rPr>
              <w:t>该项目建设地点位南郑区碑坝镇心悦公司猕猴桃基地，建设主要内容：新建4个10立方蓄水池，配备4套水肥一体化机械设施，安装80亩果园喷灌系统，打通水源到果园的主水管道6000米，新建水肥一体化机房4个；选取10亩果园，建设猕猴桃高架牵引示范园；购置微耕机2台，配备背负式割草机1台，购买电动修枝剪10把；对35亩果园棚架进行改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18"/>
                <w:b/>
              </w:rPr>
              <w:t>二、编制依据：</w:t>
            </w:r>
          </w:p>
          <w:p>
            <w:pPr>
              <w:pStyle w:val="null3"/>
              <w:ind w:firstLine="480"/>
              <w:jc w:val="both"/>
            </w:pPr>
            <w:r>
              <w:rPr>
                <w:rFonts w:ascii="仿宋_GB2312" w:hAnsi="仿宋_GB2312" w:cs="仿宋_GB2312" w:eastAsia="仿宋_GB2312"/>
                <w:sz w:val="18"/>
              </w:rPr>
              <w:t>1.南郑区猕猴桃标准化果园建设提升（水肥一体化建设猕猴桃棚架改造、购置机械设备、高架牵引)实施方案及设计图纸；</w:t>
            </w:r>
          </w:p>
          <w:p>
            <w:pPr>
              <w:pStyle w:val="null3"/>
              <w:ind w:firstLine="480"/>
              <w:jc w:val="both"/>
            </w:pPr>
            <w:r>
              <w:rPr>
                <w:rFonts w:ascii="仿宋_GB2312" w:hAnsi="仿宋_GB2312" w:cs="仿宋_GB2312" w:eastAsia="仿宋_GB2312"/>
                <w:sz w:val="18"/>
              </w:rPr>
              <w:t>2.《陕西省水利工程设计概（估）算编制规定》（2024年修正）；</w:t>
            </w:r>
          </w:p>
          <w:p>
            <w:pPr>
              <w:pStyle w:val="null3"/>
              <w:ind w:firstLine="480"/>
              <w:jc w:val="both"/>
            </w:pPr>
            <w:r>
              <w:rPr>
                <w:rFonts w:ascii="仿宋_GB2312" w:hAnsi="仿宋_GB2312" w:cs="仿宋_GB2312" w:eastAsia="仿宋_GB2312"/>
                <w:sz w:val="18"/>
              </w:rPr>
              <w:t>3.《陕西省水利建筑工程预算定额》（2024年修正）、《陕西省水利设备安装工程预算定额》（2024年修正）、《陕西省水利工程施工机械台班费定额》（2024年修正）；</w:t>
            </w:r>
          </w:p>
          <w:p>
            <w:pPr>
              <w:pStyle w:val="null3"/>
              <w:ind w:firstLine="480"/>
              <w:jc w:val="both"/>
            </w:pPr>
            <w:r>
              <w:rPr>
                <w:rFonts w:ascii="仿宋_GB2312" w:hAnsi="仿宋_GB2312" w:cs="仿宋_GB2312" w:eastAsia="仿宋_GB2312"/>
                <w:sz w:val="18"/>
              </w:rPr>
              <w:t>4.2017年《陕西省水利工程设计概（估）算编制规定》与陕水计发项目[2019]66号文“陕西省水利厅关于发布试行《陕西省水利工程设计概（估）算编制规定》、《陕西省水利建筑工程概算定额》、《陕西省水利设备安装工程概算定额》、《陕西省水利建筑工程预算定额》、《陕西省水利设备安装工程预算定额》、《陕西省水利工程施工机械台班费定额》)进行编制，并执行办财务函[2019]448号关于《水利部办公厅关于调整水利工程计价依据增值税计算标准的通知》文件规定。</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jc w:val="both"/>
            </w:pPr>
            <w:r>
              <w:rPr>
                <w:rFonts w:ascii="仿宋_GB2312" w:hAnsi="仿宋_GB2312" w:cs="仿宋_GB2312" w:eastAsia="仿宋_GB2312"/>
                <w:sz w:val="18"/>
                <w:b/>
              </w:rPr>
              <w:t>三、编制说明</w:t>
            </w:r>
          </w:p>
          <w:p>
            <w:pPr>
              <w:pStyle w:val="null3"/>
              <w:jc w:val="both"/>
            </w:pPr>
            <w:r>
              <w:rPr>
                <w:rFonts w:ascii="仿宋_GB2312" w:hAnsi="仿宋_GB2312" w:cs="仿宋_GB2312" w:eastAsia="仿宋_GB2312"/>
                <w:sz w:val="18"/>
              </w:rPr>
              <w:t>1.本次工程最高限价只编制设计图纸及招标范围以内的内容。</w:t>
            </w:r>
          </w:p>
          <w:p>
            <w:pPr>
              <w:pStyle w:val="null3"/>
              <w:jc w:val="both"/>
            </w:pPr>
            <w:r>
              <w:rPr>
                <w:rFonts w:ascii="仿宋_GB2312" w:hAnsi="仿宋_GB2312" w:cs="仿宋_GB2312" w:eastAsia="仿宋_GB2312"/>
                <w:sz w:val="18"/>
              </w:rPr>
              <w:t>2.材料预算价格及设备预算价格:采用《汉中建设工程造价信息(2025)》第9期》及当地市场价综合考虑计入;</w:t>
            </w:r>
          </w:p>
          <w:p>
            <w:pPr>
              <w:pStyle w:val="null3"/>
              <w:jc w:val="both"/>
            </w:pPr>
            <w:r>
              <w:rPr>
                <w:rFonts w:ascii="仿宋_GB2312" w:hAnsi="仿宋_GB2312" w:cs="仿宋_GB2312" w:eastAsia="仿宋_GB2312"/>
                <w:sz w:val="18"/>
              </w:rPr>
              <w:t>3.结合工程实际情况及施工市场行情，对相关标准及参数提出以下参考值:</w:t>
            </w:r>
          </w:p>
          <w:p>
            <w:pPr>
              <w:pStyle w:val="null3"/>
              <w:ind w:firstLine="240"/>
              <w:jc w:val="both"/>
            </w:pPr>
            <w:r>
              <w:rPr>
                <w:rFonts w:ascii="仿宋_GB2312" w:hAnsi="仿宋_GB2312" w:cs="仿宋_GB2312" w:eastAsia="仿宋_GB2312"/>
                <w:sz w:val="18"/>
              </w:rPr>
              <w:t>（1）其他施工临时工程按照建筑安装工程费的2%计列;</w:t>
            </w:r>
          </w:p>
          <w:p>
            <w:pPr>
              <w:pStyle w:val="null3"/>
              <w:ind w:firstLine="240"/>
              <w:jc w:val="both"/>
            </w:pPr>
            <w:r>
              <w:rPr>
                <w:rFonts w:ascii="仿宋_GB2312" w:hAnsi="仿宋_GB2312" w:cs="仿宋_GB2312" w:eastAsia="仿宋_GB2312"/>
                <w:sz w:val="18"/>
              </w:rPr>
              <w:t>（2）施工安全生产专项按建筑安装工程费乘以(1+其他施工临时工程费率)的2.5%计列;</w:t>
            </w:r>
          </w:p>
          <w:p>
            <w:pPr>
              <w:pStyle w:val="null3"/>
              <w:ind w:firstLine="240"/>
              <w:jc w:val="both"/>
            </w:pPr>
            <w:r>
              <w:rPr>
                <w:rFonts w:ascii="仿宋_GB2312" w:hAnsi="仿宋_GB2312" w:cs="仿宋_GB2312" w:eastAsia="仿宋_GB2312"/>
                <w:sz w:val="18"/>
              </w:rPr>
              <w:t>（3）工程保险费不计列;</w:t>
            </w:r>
          </w:p>
          <w:p>
            <w:pPr>
              <w:pStyle w:val="null3"/>
              <w:ind w:firstLine="240"/>
              <w:jc w:val="both"/>
            </w:pPr>
            <w:r>
              <w:rPr>
                <w:rFonts w:ascii="仿宋_GB2312" w:hAnsi="仿宋_GB2312" w:cs="仿宋_GB2312" w:eastAsia="仿宋_GB2312"/>
                <w:sz w:val="18"/>
              </w:rPr>
              <w:t>（4）工程备用金不计列。</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四、商务要求（本项为实质性响应要求，不得负偏离）</w:t>
            </w:r>
          </w:p>
          <w:p>
            <w:pPr>
              <w:pStyle w:val="null3"/>
            </w:pPr>
            <w:r>
              <w:rPr>
                <w:rFonts w:ascii="仿宋_GB2312" w:hAnsi="仿宋_GB2312" w:cs="仿宋_GB2312" w:eastAsia="仿宋_GB2312"/>
              </w:rPr>
              <w:t>1. 工期：60日历天。</w:t>
            </w:r>
          </w:p>
          <w:p>
            <w:pPr>
              <w:pStyle w:val="null3"/>
            </w:pPr>
            <w:r>
              <w:rPr>
                <w:rFonts w:ascii="仿宋_GB2312" w:hAnsi="仿宋_GB2312" w:cs="仿宋_GB2312" w:eastAsia="仿宋_GB2312"/>
              </w:rPr>
              <w:t>2. 质量要求：符合国家现行有关施工质量验收规范“合格”要求。</w:t>
            </w:r>
          </w:p>
          <w:p>
            <w:pPr>
              <w:pStyle w:val="null3"/>
            </w:pPr>
            <w:r>
              <w:rPr>
                <w:rFonts w:ascii="仿宋_GB2312" w:hAnsi="仿宋_GB2312" w:cs="仿宋_GB2312" w:eastAsia="仿宋_GB2312"/>
              </w:rPr>
              <w:t>3. 缺陷责任期：工程验收合格后12个月。</w:t>
            </w:r>
          </w:p>
          <w:p>
            <w:pPr>
              <w:pStyle w:val="null3"/>
            </w:pPr>
            <w:r>
              <w:rPr>
                <w:rFonts w:ascii="仿宋_GB2312" w:hAnsi="仿宋_GB2312" w:cs="仿宋_GB2312" w:eastAsia="仿宋_GB2312"/>
              </w:rPr>
              <w:t>4. 漏项处理：施工过程中发现工程量清单中存在漏项工程的，该漏项工程作为本项目采购的组成部分，采购人和供应商可以按照双方合同的规定协商解决。</w:t>
            </w:r>
          </w:p>
          <w:p>
            <w:pPr>
              <w:pStyle w:val="null3"/>
            </w:pPr>
            <w:r>
              <w:rPr>
                <w:rFonts w:ascii="仿宋_GB2312" w:hAnsi="仿宋_GB2312" w:cs="仿宋_GB2312" w:eastAsia="仿宋_GB2312"/>
              </w:rPr>
              <w:t>5. 施工要求：</w:t>
            </w:r>
          </w:p>
          <w:p>
            <w:pPr>
              <w:pStyle w:val="null3"/>
            </w:pPr>
            <w:r>
              <w:rPr>
                <w:rFonts w:ascii="仿宋_GB2312" w:hAnsi="仿宋_GB2312" w:cs="仿宋_GB2312" w:eastAsia="仿宋_GB2312"/>
              </w:rPr>
              <w:t>5.1 遵守国家相关法律、法规，遵守国家相关技术规范；</w:t>
            </w:r>
          </w:p>
          <w:p>
            <w:pPr>
              <w:pStyle w:val="null3"/>
            </w:pPr>
            <w:r>
              <w:rPr>
                <w:rFonts w:ascii="仿宋_GB2312" w:hAnsi="仿宋_GB2312" w:cs="仿宋_GB2312" w:eastAsia="仿宋_GB2312"/>
              </w:rPr>
              <w:t>5.2 所选材料必须保证质量可靠、进货渠道正常，符合国家环保等相关标准，满足施工要求；</w:t>
            </w:r>
          </w:p>
          <w:p>
            <w:pPr>
              <w:pStyle w:val="null3"/>
            </w:pPr>
            <w:r>
              <w:rPr>
                <w:rFonts w:ascii="仿宋_GB2312" w:hAnsi="仿宋_GB2312" w:cs="仿宋_GB2312" w:eastAsia="仿宋_GB2312"/>
              </w:rPr>
              <w:t>5.3 工程质量符合国家有关规范，确保达到合格；</w:t>
            </w:r>
          </w:p>
          <w:p>
            <w:pPr>
              <w:pStyle w:val="null3"/>
            </w:pPr>
            <w:r>
              <w:rPr>
                <w:rFonts w:ascii="仿宋_GB2312" w:hAnsi="仿宋_GB2312" w:cs="仿宋_GB2312" w:eastAsia="仿宋_GB2312"/>
              </w:rPr>
              <w:t>5.4 遵守有关施工规范和安全操作规程，采取有效的安全保障措施，确保施工安全，包括悬挂警示标牌、装设围栏、配备安全人员等，并承担事故的全部费用和责任；</w:t>
            </w:r>
          </w:p>
          <w:p>
            <w:pPr>
              <w:pStyle w:val="null3"/>
            </w:pPr>
            <w:r>
              <w:rPr>
                <w:rFonts w:ascii="仿宋_GB2312" w:hAnsi="仿宋_GB2312" w:cs="仿宋_GB2312" w:eastAsia="仿宋_GB2312"/>
              </w:rPr>
              <w:t>5.5 施工单位必须服从当地对治安、卫生、环保、社会保险等工程建设的统一管理，并按有关规定交纳费用以及因违反相关规定而造成的罚款；</w:t>
            </w:r>
          </w:p>
          <w:p>
            <w:pPr>
              <w:pStyle w:val="null3"/>
            </w:pPr>
            <w:r>
              <w:rPr>
                <w:rFonts w:ascii="仿宋_GB2312" w:hAnsi="仿宋_GB2312" w:cs="仿宋_GB2312" w:eastAsia="仿宋_GB2312"/>
              </w:rPr>
              <w:t>5.6 本工程不允许转包；</w:t>
            </w:r>
          </w:p>
          <w:p>
            <w:pPr>
              <w:pStyle w:val="null3"/>
            </w:pPr>
            <w:r>
              <w:rPr>
                <w:rFonts w:ascii="仿宋_GB2312" w:hAnsi="仿宋_GB2312" w:cs="仿宋_GB2312" w:eastAsia="仿宋_GB2312"/>
              </w:rPr>
              <w:t>5.7 供应商自行办理垃圾清理手续，遵守当地政府垃圾分类处理有关规定，承担自行处置不当导致的全部费用和责任。</w:t>
            </w:r>
          </w:p>
          <w:p>
            <w:pPr>
              <w:pStyle w:val="null3"/>
            </w:pPr>
            <w:r>
              <w:rPr>
                <w:rFonts w:ascii="仿宋_GB2312" w:hAnsi="仿宋_GB2312" w:cs="仿宋_GB2312" w:eastAsia="仿宋_GB2312"/>
              </w:rPr>
              <w:t>6.质量验收标准或规范：</w:t>
            </w:r>
          </w:p>
          <w:p>
            <w:pPr>
              <w:pStyle w:val="null3"/>
            </w:pPr>
            <w:r>
              <w:rPr>
                <w:rFonts w:ascii="仿宋_GB2312" w:hAnsi="仿宋_GB2312" w:cs="仿宋_GB2312" w:eastAsia="仿宋_GB2312"/>
              </w:rPr>
              <w:t>6.1 国家现行有关法律、法规、环保和技术指标；</w:t>
            </w:r>
          </w:p>
          <w:p>
            <w:pPr>
              <w:pStyle w:val="null3"/>
            </w:pPr>
            <w:r>
              <w:rPr>
                <w:rFonts w:ascii="仿宋_GB2312" w:hAnsi="仿宋_GB2312" w:cs="仿宋_GB2312" w:eastAsia="仿宋_GB2312"/>
              </w:rPr>
              <w:t>6.2 本项目施工合同；</w:t>
            </w:r>
          </w:p>
          <w:p>
            <w:pPr>
              <w:pStyle w:val="null3"/>
            </w:pPr>
            <w:r>
              <w:rPr>
                <w:rFonts w:ascii="仿宋_GB2312" w:hAnsi="仿宋_GB2312" w:cs="仿宋_GB2312" w:eastAsia="仿宋_GB2312"/>
              </w:rPr>
              <w:t>6.3 经批准的设计文件及工程变更文件；</w:t>
            </w:r>
          </w:p>
          <w:p>
            <w:pPr>
              <w:pStyle w:val="null3"/>
            </w:pPr>
            <w:r>
              <w:rPr>
                <w:rFonts w:ascii="仿宋_GB2312" w:hAnsi="仿宋_GB2312" w:cs="仿宋_GB2312" w:eastAsia="仿宋_GB2312"/>
              </w:rPr>
              <w:t>6.4 有关部政府部门的规定。</w:t>
            </w:r>
          </w:p>
          <w:p>
            <w:pPr>
              <w:pStyle w:val="null3"/>
            </w:pPr>
            <w:r>
              <w:rPr>
                <w:rFonts w:ascii="仿宋_GB2312" w:hAnsi="仿宋_GB2312" w:cs="仿宋_GB2312" w:eastAsia="仿宋_GB2312"/>
              </w:rPr>
              <w:t>7.项目检验与验收：</w:t>
            </w:r>
          </w:p>
          <w:p>
            <w:pPr>
              <w:pStyle w:val="null3"/>
            </w:pPr>
            <w:r>
              <w:rPr>
                <w:rFonts w:ascii="仿宋_GB2312" w:hAnsi="仿宋_GB2312" w:cs="仿宋_GB2312" w:eastAsia="仿宋_GB2312"/>
              </w:rPr>
              <w:t>7.1 成交供应商向采购人提交项目实施过程中的所有资料；</w:t>
            </w:r>
          </w:p>
          <w:p>
            <w:pPr>
              <w:pStyle w:val="null3"/>
            </w:pPr>
            <w:r>
              <w:rPr>
                <w:rFonts w:ascii="仿宋_GB2312" w:hAnsi="仿宋_GB2312" w:cs="仿宋_GB2312" w:eastAsia="仿宋_GB2312"/>
              </w:rPr>
              <w:t>7.2 验收须以合同、磋商文件及响应文件、澄清、及国家相应的标准、规范等为依据。</w:t>
            </w:r>
          </w:p>
          <w:p>
            <w:pPr>
              <w:pStyle w:val="null3"/>
            </w:pPr>
            <w:r>
              <w:rPr>
                <w:rFonts w:ascii="仿宋_GB2312" w:hAnsi="仿宋_GB2312" w:cs="仿宋_GB2312" w:eastAsia="仿宋_GB2312"/>
              </w:rPr>
              <w:t>8.合同的变更、中止、终止：合同一经签订，不得擅自变更、中止或者终止合同。对确需变更、调整或者中止、终止合同的，由双方协商解决。</w:t>
            </w:r>
          </w:p>
          <w:p>
            <w:pPr>
              <w:pStyle w:val="null3"/>
            </w:pPr>
            <w:r>
              <w:rPr>
                <w:rFonts w:ascii="仿宋_GB2312" w:hAnsi="仿宋_GB2312" w:cs="仿宋_GB2312" w:eastAsia="仿宋_GB2312"/>
              </w:rPr>
              <w:t>9.合同争议的处理：合同在履行过程中发生的争议，当事人双方应协商解决，协商达不成一致时，可向采购方所在地仲裁委员会申请仲裁或者向人民法院提请诉讼。</w:t>
            </w:r>
          </w:p>
          <w:p>
            <w:pPr>
              <w:pStyle w:val="null3"/>
            </w:pPr>
            <w:r>
              <w:rPr>
                <w:rFonts w:ascii="仿宋_GB2312" w:hAnsi="仿宋_GB2312" w:cs="仿宋_GB2312" w:eastAsia="仿宋_GB2312"/>
              </w:rPr>
              <w:t>10.违约责任：</w:t>
            </w:r>
          </w:p>
          <w:p>
            <w:pPr>
              <w:pStyle w:val="null3"/>
            </w:pPr>
            <w:r>
              <w:rPr>
                <w:rFonts w:ascii="仿宋_GB2312" w:hAnsi="仿宋_GB2312" w:cs="仿宋_GB2312" w:eastAsia="仿宋_GB2312"/>
              </w:rPr>
              <w:t>10.1 按《中华人民共和国政府采购法》《中华人民共和国民法典》中的相关条款执行；</w:t>
            </w:r>
          </w:p>
          <w:p>
            <w:pPr>
              <w:pStyle w:val="null3"/>
            </w:pPr>
            <w:r>
              <w:rPr>
                <w:rFonts w:ascii="仿宋_GB2312" w:hAnsi="仿宋_GB2312" w:cs="仿宋_GB2312" w:eastAsia="仿宋_GB2312"/>
              </w:rPr>
              <w:t>10.2 未按要求提供货物、质量、环保标准不能满足技术要求的，施工方必须无条件更换，否则，采购单位有权终止合同，并对施工方的违约行为报监管机构进行相应的处罚。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为签字盖章扫描后的PDF版本响应文件）。纸质响应文件均须A4纸打印，分别各自装订成册。线下递交响应文件地点：汉中市汉台区西一环路蓝天御苑小区商铺二层门面房南侧。 2. 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供应商为具有独立承担民事责任能力的企业法人、负责人或其他组织或自然人，并出具有效的营业执照或证明文件或自然人的身份证明。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供应商须具有水利水电工程施工总承包三级及以上资质，并具有有效的安全生产许可证。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拟派本项目的项目经理须具备水利水电工程专业二级及以上注册建造师，并持有效的安全生产考核合格证书，且无在建工程(出具无在建承诺书）。</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供应商应提交的相关资格证明材料 总实施方案 商务要求应答表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供应商应提交的相关资格证明材料 总实施方案 商务要求应答表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商务要求应答</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供应商应提交的相关资格证明材料 总实施方案 商务要求应答表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一、评审内容：针对本项目施工内容制定施工方案，包括①项目整体思路；②项目重点难点；③施工实施的流程；④管理规章制度方案。 二、赋分标准： 1.完整性：对上述各项内容均有描述，得4分；每缺1项扣1分，扣完为止。此项不提供不得分。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安全施工、文明施工管理制度及措施</w:t>
            </w:r>
          </w:p>
        </w:tc>
        <w:tc>
          <w:tcPr>
            <w:tcW w:type="dxa" w:w="2492"/>
          </w:tcPr>
          <w:p>
            <w:pPr>
              <w:pStyle w:val="null3"/>
            </w:pPr>
            <w:r>
              <w:rPr>
                <w:rFonts w:ascii="仿宋_GB2312" w:hAnsi="仿宋_GB2312" w:cs="仿宋_GB2312" w:eastAsia="仿宋_GB2312"/>
              </w:rPr>
              <w:t>一、评审内容：针对本项目制定安全施工、文明施工管理制度及措施，包括①安全施工、文明施工管理制度；②安全施工、文明施工管理措施。 二、赋分标准： 1.完整性：对上述各项内容均有描述，得2分；每缺1项扣1分，扣完为止。此项不提供不得分。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工程质量保证管理制度及措施</w:t>
            </w:r>
          </w:p>
        </w:tc>
        <w:tc>
          <w:tcPr>
            <w:tcW w:type="dxa" w:w="2492"/>
          </w:tcPr>
          <w:p>
            <w:pPr>
              <w:pStyle w:val="null3"/>
            </w:pPr>
            <w:r>
              <w:rPr>
                <w:rFonts w:ascii="仿宋_GB2312" w:hAnsi="仿宋_GB2312" w:cs="仿宋_GB2312" w:eastAsia="仿宋_GB2312"/>
              </w:rPr>
              <w:t>一、评审内容：针对本项目制定工程质量保证管理制度及措施，包括①工程质量保证管理制度；②工程质量保证管理措施。 二、赋分标准： 1.完整性：对上述各项内容均有描述，得2分；每缺1项扣1分，扣完为止。此项不提供不得分。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一、评审内容：针对本项目制定工期的技术组织措施，包括①工期的技术组织措施；②施工工期进度安排。 二、赋分标准： 1.完整性：对上述各项内容均有描述，得2分；每缺1项扣1分，扣完为止。此项不提供不得分。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降低环境污染措施及环境保护管理制度</w:t>
            </w:r>
          </w:p>
        </w:tc>
        <w:tc>
          <w:tcPr>
            <w:tcW w:type="dxa" w:w="2492"/>
          </w:tcPr>
          <w:p>
            <w:pPr>
              <w:pStyle w:val="null3"/>
            </w:pPr>
            <w:r>
              <w:rPr>
                <w:rFonts w:ascii="仿宋_GB2312" w:hAnsi="仿宋_GB2312" w:cs="仿宋_GB2312" w:eastAsia="仿宋_GB2312"/>
              </w:rPr>
              <w:t>一、评审内容：针对本项目制定降低环境污染措施及环境保护管理制度，包括①降低环境污染措施；②环境保护管理制度。 二、赋分标准： 1.完整性：对上述各项内容均有描述，得2分；每缺1项扣1分，扣完为止。此项不提供不得分。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一、评审内容：针对本项目拟投入的主要施工机械设备配备进行评审。 二、赋分标准： 1.完整性：对上述内容有描述得1分，此项不提供不得分。 2.针对性：上述内容针对性明确得2分；针对性较明确，每项内容得1分；缺乏针对性，每项内容得0分。此项不提供不得分。 3.可实施性：上述内容可实施性合理得2分；可实施性较合理，每项内容得1分；缺乏可实施性，每项内容得0分。此项不提供不得分。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劳动力配备</w:t>
            </w:r>
          </w:p>
        </w:tc>
        <w:tc>
          <w:tcPr>
            <w:tcW w:type="dxa" w:w="2492"/>
          </w:tcPr>
          <w:p>
            <w:pPr>
              <w:pStyle w:val="null3"/>
            </w:pPr>
            <w:r>
              <w:rPr>
                <w:rFonts w:ascii="仿宋_GB2312" w:hAnsi="仿宋_GB2312" w:cs="仿宋_GB2312" w:eastAsia="仿宋_GB2312"/>
              </w:rPr>
              <w:t>一、评审内容：针对本项目劳动力配备进行评审。 二、赋分标准： 1.完整性：对上述内容有描述得1分，此项不提供不得分。 2.针对性：上述内容针对性明确得2分；针对性较明确，每项内容得1分；缺乏针对性，每项内容得0分。此项不提供不得分。 3.可实施性：上述内容可实施性合理得2分；可实施性较合理，每项内容得1分；缺乏可实施性，每项内容得0分。此项不提供不得分。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一、评审内容：供应商针对本项目特点提供切实可行的施工安全承诺、文明施工承诺、施工质量保证承诺、工期保证承诺、施工环境承诺，保证按时按质按量完成本项目。 二、赋分标准：每提供一项承诺得1分，满分5分。未提供此项内容不得分。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一、评审内容：所配备项目经理、施工员、质检员、安全员、材料员，具备相关专业技术职称或岗位证书。 二、赋分标准：全部满足得 10 分，每缺少一人或相应人员无证书证件扣 2分，扣完为止。响应文件内附相应人员证书证件复印件并加盖供应商公章。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环境标志产品</w:t>
            </w:r>
          </w:p>
        </w:tc>
        <w:tc>
          <w:tcPr>
            <w:tcW w:type="dxa" w:w="2492"/>
          </w:tcPr>
          <w:p>
            <w:pPr>
              <w:pStyle w:val="null3"/>
            </w:pPr>
            <w:r>
              <w:rPr>
                <w:rFonts w:ascii="仿宋_GB2312" w:hAnsi="仿宋_GB2312" w:cs="仿宋_GB2312" w:eastAsia="仿宋_GB2312"/>
              </w:rPr>
              <w:t>主要材料为《环境标志产品政府采购品目清单》的，提供1个有效期内的认证证书得1分，没有不得分。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一、评审内容：供应商提供2023年1月至今完成的类似项目业绩。 二、赋分标准：每提供一个合格业绩得2分，满分4分。未提供此项内容不得分。 注：业绩以中标（成交）通知书和合同（协议书)为准，响应文件内附复印件并签章。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总实施方案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3.磋商供应商报价得分=（评审基准价/最终报价）×10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详见附件：总实施方案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