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版本号：SXPZ-2025-10-20.1B120251103001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2025年南郑区新集镇西关社区人居环境整治项目(二次)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SXPZ-2025-10-20.1B1</w:t>
      </w:r>
      <w:r>
        <w:br/>
      </w:r>
      <w:r>
        <w:br/>
      </w:r>
      <w:r>
        <w:br/>
      </w:r>
    </w:p>
    <w:p>
      <w:pPr>
        <w:pStyle w:val="null3"/>
        <w:jc w:val="center"/>
        <w:outlineLvl w:val="2"/>
      </w:pPr>
      <w:r>
        <w:rPr>
          <w:rFonts w:ascii="仿宋_GB2312" w:hAnsi="仿宋_GB2312" w:cs="仿宋_GB2312" w:eastAsia="仿宋_GB2312"/>
          <w:sz w:val="28"/>
          <w:b/>
        </w:rPr>
        <w:t>汉中市南郑区新集镇人民政府</w:t>
      </w:r>
    </w:p>
    <w:p>
      <w:pPr>
        <w:pStyle w:val="null3"/>
        <w:jc w:val="center"/>
        <w:outlineLvl w:val="2"/>
      </w:pPr>
      <w:r>
        <w:rPr>
          <w:rFonts w:ascii="仿宋_GB2312" w:hAnsi="仿宋_GB2312" w:cs="仿宋_GB2312" w:eastAsia="仿宋_GB2312"/>
          <w:sz w:val="28"/>
          <w:b/>
        </w:rPr>
        <w:t>陕西鹏泽项目管理有限公司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陕西鹏泽项目管理有限公司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汉中市南郑区新集镇人民政府</w:t>
      </w:r>
      <w:r>
        <w:rPr>
          <w:rFonts w:ascii="仿宋_GB2312" w:hAnsi="仿宋_GB2312" w:cs="仿宋_GB2312" w:eastAsia="仿宋_GB2312"/>
        </w:rPr>
        <w:t>委托，拟对</w:t>
      </w:r>
      <w:r>
        <w:rPr>
          <w:rFonts w:ascii="仿宋_GB2312" w:hAnsi="仿宋_GB2312" w:cs="仿宋_GB2312" w:eastAsia="仿宋_GB2312"/>
        </w:rPr>
        <w:t>2025年南郑区新集镇西关社区人居环境整治项目(二次)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SXPZ-2025-10-20.1B1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2025年南郑区新集镇西关社区人居环境整治项目(二次)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本项目位于南郑区新集镇西关社区，主要建设内容为铺设污水管网、改造人行道、线缆入地、道路加宽治理等。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采购包1（2025年南郑区新集镇西关社区人居环境整治项目）：属于专门面向中小企业采购。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1、拟派项目负责人资质和专业要求：证书等级：二级及以上 专业：市政公用工程 补充说明：无在建工程</w:t>
      </w:r>
    </w:p>
    <w:p>
      <w:pPr>
        <w:pStyle w:val="null3"/>
      </w:pPr>
      <w:r>
        <w:rPr>
          <w:rFonts w:ascii="仿宋_GB2312" w:hAnsi="仿宋_GB2312" w:cs="仿宋_GB2312" w:eastAsia="仿宋_GB2312"/>
        </w:rPr>
        <w:t>2、供应商资格：供应商应为合法注册的企业法人、事业法人、其他组织或自然人。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3、法定代表人（或委托代理人）身份证明及授权委托书：法定代表人授权书（附法定代表人身份证复印件）及被授权人身份证复印件（法定代表人直接参加投标只须提供法定代表人身份证复印件）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4、供应商资质要求：投标供应商应具备建设行政主管部门核发的市政公用工程施工总承包三级（含三级）及其以上资质，且具有有效的安全生产许可证</w:t>
      </w:r>
    </w:p>
    <w:p>
      <w:pPr>
        <w:pStyle w:val="null3"/>
      </w:pPr>
      <w:r>
        <w:rPr>
          <w:rFonts w:ascii="仿宋_GB2312" w:hAnsi="仿宋_GB2312" w:cs="仿宋_GB2312" w:eastAsia="仿宋_GB2312"/>
        </w:rPr>
        <w:t>5、资格承诺函：供应商应按照汉中市财政局《关于全面推行政府采购供应商基本资格条件承诺制的通知》（汉采办采管〔2024〕20号）文件要求，提供资格承诺函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汉中市南郑区新集镇人民政府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南郑区新集镇西关村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汉中市南郑区新集镇人民政府经办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17319619179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陕西鹏泽项目管理有限公司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陕西省汉中市南郑区中所营街道办董家营十字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刘毅梅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18009160592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代理服务费收费标准：以成交金额为基数参照国家计委颁布的《招标代理服务收费管理暂行办法》（计价格[2002]1980号）和（发改办价格[2003]857号）文收费标准进行计算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汉中市南郑区新集镇人民政府</w:t>
      </w:r>
      <w:r>
        <w:rPr>
          <w:rFonts w:ascii="仿宋_GB2312" w:hAnsi="仿宋_GB2312" w:cs="仿宋_GB2312" w:eastAsia="仿宋_GB2312"/>
        </w:rPr>
        <w:t>和</w:t>
      </w:r>
      <w:r>
        <w:rPr>
          <w:rFonts w:ascii="仿宋_GB2312" w:hAnsi="仿宋_GB2312" w:cs="仿宋_GB2312" w:eastAsia="仿宋_GB2312"/>
        </w:rPr>
        <w:t>陕西鹏泽项目管理有限公司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汉中市南郑区新集镇人民政府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陕西鹏泽项目管理有限公司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汉中市南郑区新集镇人民政府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陕西鹏泽项目管理有限公司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联系人：刘毅梅</w:t>
      </w:r>
    </w:p>
    <w:p>
      <w:pPr>
        <w:pStyle w:val="null3"/>
      </w:pPr>
      <w:r>
        <w:rPr>
          <w:rFonts w:ascii="仿宋_GB2312" w:hAnsi="仿宋_GB2312" w:cs="仿宋_GB2312" w:eastAsia="仿宋_GB2312"/>
        </w:rPr>
        <w:t>联系电话：18009160592</w:t>
      </w:r>
    </w:p>
    <w:p>
      <w:pPr>
        <w:pStyle w:val="null3"/>
      </w:pPr>
      <w:r>
        <w:rPr>
          <w:rFonts w:ascii="仿宋_GB2312" w:hAnsi="仿宋_GB2312" w:cs="仿宋_GB2312" w:eastAsia="仿宋_GB2312"/>
        </w:rPr>
        <w:t>地址：陕西省汉中市南郑区中所营街道办董家营十字</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1,199,529.41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2025年南郑区新集镇西关社区人居环境整治项目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标的名称：2025年南郑区新集镇西关社区人居环境整治项目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工程质量达到国家及行业相关质量验收规范合格标准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60日历天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《建筑工程施工质量验收统一标准》、《建设工程质量管理条例》</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确保施工安全，不发生安全生产事故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专业：市政公用工程 补充说明：无在建工程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投标供应商应具备建设行政主管部门核发的市政公用工程施工总承包三级（含三级）及其以上资质，且具有有效的安全生产许可证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w:t>
            </w:r>
          </w:p>
        </w:tc>
        <w:tc>
          <w:tcPr>
            <w:tcW w:type="dxa" w:w="1661"/>
          </w:tcPr>
          <w:p>
            <w:pPr>
              <w:pStyle w:val="null3"/>
            </w:pPr>
            <w:r>
              <w:rPr>
                <w:rFonts w:ascii="仿宋_GB2312" w:hAnsi="仿宋_GB2312" w:cs="仿宋_GB2312" w:eastAsia="仿宋_GB2312"/>
              </w:rPr>
              <w:t>已标价工程量清单 法定代表人身份证明及法定代表人授权书 中小企业声明函 技术服务合同条款及其他商务要求应答表 供应商应提交的相关资格证明材料 响应文件封面 项目管理机构组成表 技术响应方案.docx 其他资料 残疾人福利性单位声明函 报价函 标的清单 供应商类似项目业绩一览表 响应函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供应商法定代表人或其法定代表人被授权委托代理的印鉴齐全，符合竞争性磋商文件的规定</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响应报价符合性</w:t>
            </w:r>
          </w:p>
        </w:tc>
        <w:tc>
          <w:tcPr>
            <w:tcW w:type="dxa" w:w="3322"/>
          </w:tcPr>
          <w:p>
            <w:pPr>
              <w:pStyle w:val="null3"/>
            </w:pPr>
            <w:r>
              <w:rPr>
                <w:rFonts w:ascii="仿宋_GB2312" w:hAnsi="仿宋_GB2312" w:cs="仿宋_GB2312" w:eastAsia="仿宋_GB2312"/>
              </w:rPr>
              <w:t>供应商响应文件报价符合竞争性磋商文件的要求</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工期与质量</w:t>
            </w:r>
          </w:p>
        </w:tc>
        <w:tc>
          <w:tcPr>
            <w:tcW w:type="dxa" w:w="3322"/>
          </w:tcPr>
          <w:p>
            <w:pPr>
              <w:pStyle w:val="null3"/>
            </w:pPr>
            <w:r>
              <w:rPr>
                <w:rFonts w:ascii="仿宋_GB2312" w:hAnsi="仿宋_GB2312" w:cs="仿宋_GB2312" w:eastAsia="仿宋_GB2312"/>
              </w:rPr>
              <w:t>供应商响应文件载明的采购项目完成期限未超过竞争性磋商文件规定的时限，质量符合竞争性磋商文件要求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已标价工程量清单 法定代表人身份证明及法定代表人授权书 中小企业声明函 技术服务合同条款及其他商务要求应答表 供应商应提交的相关资格证明材料 响应文件封面 项目管理机构组成表 技术响应方案.docx 其他资料 残疾人福利性单位声明函 报价函 标的清单 供应商类似项目业绩一览表 响应函 主要人员简历表 汉中市政府采购供应商资格承诺函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供应商针对本项目的施工组织计划</w:t>
            </w:r>
          </w:p>
        </w:tc>
        <w:tc>
          <w:tcPr>
            <w:tcW w:type="dxa" w:w="2492"/>
          </w:tcPr>
          <w:p>
            <w:pPr>
              <w:pStyle w:val="null3"/>
            </w:pPr>
            <w:r>
              <w:rPr>
                <w:rFonts w:ascii="仿宋_GB2312" w:hAnsi="仿宋_GB2312" w:cs="仿宋_GB2312" w:eastAsia="仿宋_GB2312"/>
              </w:rPr>
              <w:t>一、供应商对本项目的施工组织计划： 1.项目目标：质量目标、工期目标、安全目标、文明环保施工目标： 评分标准：目标设置明确，满足项目需求[4-5]；目标设置一般，部分满足项目需求：[0-3.9]。 2.项目环境保护控制措施： 评分标准：措施具体得当，生态环保效果明显[4-5]；措施空洞，生态环保效果一般：[0-3.9]。 3.项目质量控制管理措施： 评分标准：质量控制措施健全，符合项目实际[4-5]；质量控制措施一般，有明显缺项，与项目实际有偏差[0-3.9]。 4.项目安全文明施工监督管理措施： 评分标准：安全文明施工监督管理措施得力，能有效预防安全事故[4-5]；安全文明施工监督管理措施一般，存在安全风险隐患[0-3.9]。 5.项目项目进度控制措施： 评分标准：进度计划合理，进度控制措施具有可操作性和科学性[4-5]；进度管理控制措施合理性、科学性一般，与项目实际情况存在偏差[0-3.9]。</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供应商编制的施工方案与技术措施</w:t>
            </w:r>
          </w:p>
        </w:tc>
        <w:tc>
          <w:tcPr>
            <w:tcW w:type="dxa" w:w="2492"/>
          </w:tcPr>
          <w:p>
            <w:pPr>
              <w:pStyle w:val="null3"/>
            </w:pPr>
            <w:r>
              <w:rPr>
                <w:rFonts w:ascii="仿宋_GB2312" w:hAnsi="仿宋_GB2312" w:cs="仿宋_GB2312" w:eastAsia="仿宋_GB2312"/>
              </w:rPr>
              <w:t>磋商小组根据供应商响应文件中针对本项目施工方案与技术措施进行横向比较赋分。 评分标准：施工布置合理，主要工程内容施工技术选用合理、施工措施得当、阐述全面[8-10]；施工布置合理性一般，主要工程内容施工技术选用较合理、施工措施较为得当、主要工程内容阐述基本全面[5-7.9]；施工布置不合理性，主要工程内容施工技术选用不合理、施工措施与实际不符、主要工程内容阐述存在较多缺项。[0-4.9]</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项目部组织机构</w:t>
            </w:r>
          </w:p>
        </w:tc>
        <w:tc>
          <w:tcPr>
            <w:tcW w:type="dxa" w:w="2492"/>
          </w:tcPr>
          <w:p>
            <w:pPr>
              <w:pStyle w:val="null3"/>
            </w:pPr>
            <w:r>
              <w:rPr>
                <w:rFonts w:ascii="仿宋_GB2312" w:hAnsi="仿宋_GB2312" w:cs="仿宋_GB2312" w:eastAsia="仿宋_GB2312"/>
              </w:rPr>
              <w:t>1、项目部组织结构、项目下设部门设置，专业作业队配置； 评分标准：合理、齐全，满足项目需求[4-5]；配备一般，部分满足项目需求[0-3.9]。 2、项目部关键岗位人员配备及部门职责范围； 评分标准：人员配备齐全，职责范围明确[4-5]；人员配备合理性一般，职责范围不明晰[0-3.9]。</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拟投入机械设备配置</w:t>
            </w:r>
          </w:p>
        </w:tc>
        <w:tc>
          <w:tcPr>
            <w:tcW w:type="dxa" w:w="2492"/>
          </w:tcPr>
          <w:p>
            <w:pPr>
              <w:pStyle w:val="null3"/>
            </w:pPr>
            <w:r>
              <w:rPr>
                <w:rFonts w:ascii="仿宋_GB2312" w:hAnsi="仿宋_GB2312" w:cs="仿宋_GB2312" w:eastAsia="仿宋_GB2312"/>
              </w:rPr>
              <w:t>主要工程机械设备配备齐全、合理，完全满足项目需求[4-5]；配备一般，部分满足项目需求[0-3.9]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供应商近三年类似业绩</w:t>
            </w:r>
          </w:p>
        </w:tc>
        <w:tc>
          <w:tcPr>
            <w:tcW w:type="dxa" w:w="2492"/>
          </w:tcPr>
          <w:p>
            <w:pPr>
              <w:pStyle w:val="null3"/>
            </w:pPr>
            <w:r>
              <w:rPr>
                <w:rFonts w:ascii="仿宋_GB2312" w:hAnsi="仿宋_GB2312" w:cs="仿宋_GB2312" w:eastAsia="仿宋_GB2312"/>
              </w:rPr>
              <w:t>供应商提供2022年10月至今完成的类似项目（项目业绩是指与采购工程的建设内容、使用功能相同或相近的项目）业绩，每提供一份得2.5分，此项最高得5.0分；注：业绩须是供应商完成的同类项目，以成交（中标）通知书、合同或协议书为准（在磋商文件相应部分提供证明文件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售后服务保修措施</w:t>
            </w:r>
          </w:p>
        </w:tc>
        <w:tc>
          <w:tcPr>
            <w:tcW w:type="dxa" w:w="2492"/>
          </w:tcPr>
          <w:p>
            <w:pPr>
              <w:pStyle w:val="null3"/>
            </w:pPr>
            <w:r>
              <w:rPr>
                <w:rFonts w:ascii="仿宋_GB2312" w:hAnsi="仿宋_GB2312" w:cs="仿宋_GB2312" w:eastAsia="仿宋_GB2312"/>
              </w:rPr>
              <w:t>磋商小组根据供应商响应文件中针对本项目售后保修服务进行横向比较赋分。 评分标准：售后保修服务措施贴合项目实际，满足采购人及项目需求，保修承诺明确[4-5]；售后保修服务内容空洞，措施不明确，承诺不明确，不能完全满足采购人及项目需求[0-3.9]。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满足磋商文件要求且磋商响应最低的报价（最后的响应报价）为评标基准价，其价格分为满分。其他磋商供应商的价格分统一按照下列公式计算：磋商报价得分=（评标基准价/评标价）×价格权值%×100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