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版本号：ZJHZ-ZC250046.2B120251103001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2025年油菜制种大县奖励资金项目(二次)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ZJHZ-ZC250046.2B1</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2025年油菜制种大县奖励资金项目(二次)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ZJHZ-ZC250046.2B1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2025年油菜制种大县奖励资金项目(二次)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2025年汉中金丰公社农业服务有限公司油菜制种能力提升项目采购内容：购置植保无人机3台、油菜种子编织机1台、种子分离机 12 台、种子包衣机1台、风筛式种子精选机1台、重力式种子精选机1台、提升机3台等种子机械设备共22台套。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pPr>
      <w:r>
        <w:rPr>
          <w:rFonts w:ascii="仿宋_GB2312" w:hAnsi="仿宋_GB2312" w:cs="仿宋_GB2312" w:eastAsia="仿宋_GB2312"/>
        </w:rPr>
        <w:t>4、本项目不接受联合体投标：本项目不接受联合体投标，供应商需提供非联合体书面声明。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南郑区大河坎镇利民东路3号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0916-5374413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说明：合同签订后3日内提交。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货物类规定计取；在获取成交通知书前，须向采购代理机构一次性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致君项目管理有限公司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符合国家农业机械相关标准、产品质量标准，及项目需求清单约定的验收要求。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南郑区大河坎镇丁元村种子收储点及基地提升项目(机械设备类）采购内容：购置机械设备18台(套)，其中轮式拖拉机1台、旋耕耙1台、收割机1台、油菜割台机(配套收割机使用)1台、秸秆粉碎打包机1台、烘干设备1套、输送架1台、开沟机2台、油菜播种机1台、微耕机4台、手扶式油菜割晒机2台、移动式油菜脱粒机2台。 2025年汉中金丰公社农业服务有限公司油菜制种能力提升项目采购内容：购置植保无人机3台、油菜种子编织机1台、种子分离机 12 台、种子包衣机1台、风筛式种子精选机1台、重力式种子精选机1台、提升机3台等种子机械设备共22台套。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721,200.00</w:t>
      </w:r>
    </w:p>
    <w:p>
      <w:pPr>
        <w:pStyle w:val="null3"/>
      </w:pPr>
      <w:r>
        <w:rPr>
          <w:rFonts w:ascii="仿宋_GB2312" w:hAnsi="仿宋_GB2312" w:cs="仿宋_GB2312" w:eastAsia="仿宋_GB2312"/>
        </w:rPr>
        <w:t>采购包最高限价（元）: 721,200.00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721200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721,200.00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标的名称：721200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技术参数及性能</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风筛式种子清选机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1、产  量：≥5t/h</w:t>
                  </w:r>
                  <w:r>
                    <w:br/>
                  </w:r>
                  <w:r>
                    <w:rPr>
                      <w:rFonts w:ascii="仿宋_GB2312" w:hAnsi="仿宋_GB2312" w:cs="仿宋_GB2312" w:eastAsia="仿宋_GB2312"/>
                      <w:sz w:val="24"/>
                      <w:color w:val="000000"/>
                    </w:rPr>
                    <w:t xml:space="preserve"> 2、功  率：≥4.6kW</w:t>
                  </w:r>
                  <w:r>
                    <w:br/>
                  </w:r>
                  <w:r>
                    <w:rPr>
                      <w:rFonts w:ascii="仿宋_GB2312" w:hAnsi="仿宋_GB2312" w:cs="仿宋_GB2312" w:eastAsia="仿宋_GB2312"/>
                      <w:sz w:val="24"/>
                      <w:color w:val="000000"/>
                    </w:rPr>
                    <w:t xml:space="preserve"> 3、获选率：≥96%</w:t>
                  </w:r>
                  <w:r>
                    <w:br/>
                  </w:r>
                  <w:r>
                    <w:rPr>
                      <w:rFonts w:ascii="仿宋_GB2312" w:hAnsi="仿宋_GB2312" w:cs="仿宋_GB2312" w:eastAsia="仿宋_GB2312"/>
                      <w:sz w:val="24"/>
                      <w:color w:val="000000"/>
                    </w:rPr>
                    <w:t xml:space="preserve"> 4、净  度：≥96%</w:t>
                  </w:r>
                  <w:r>
                    <w:br/>
                  </w:r>
                  <w:r>
                    <w:rPr>
                      <w:rFonts w:ascii="仿宋_GB2312" w:hAnsi="仿宋_GB2312" w:cs="仿宋_GB2312" w:eastAsia="仿宋_GB2312"/>
                      <w:sz w:val="24"/>
                      <w:color w:val="000000"/>
                    </w:rPr>
                    <w:t xml:space="preserve"> 5、除轻杂：≥96%</w:t>
                  </w:r>
                  <w:r>
                    <w:br/>
                  </w:r>
                  <w:r>
                    <w:rPr>
                      <w:rFonts w:ascii="仿宋_GB2312" w:hAnsi="仿宋_GB2312" w:cs="仿宋_GB2312" w:eastAsia="仿宋_GB2312"/>
                      <w:sz w:val="24"/>
                      <w:color w:val="000000"/>
                    </w:rPr>
                    <w:t xml:space="preserve"> 6、筛箱结构：木制双筛箱</w:t>
                  </w:r>
                  <w:r>
                    <w:br/>
                  </w:r>
                  <w:r>
                    <w:rPr>
                      <w:rFonts w:ascii="仿宋_GB2312" w:hAnsi="仿宋_GB2312" w:cs="仿宋_GB2312" w:eastAsia="仿宋_GB2312"/>
                      <w:sz w:val="24"/>
                      <w:color w:val="000000"/>
                    </w:rPr>
                    <w:t xml:space="preserve"> 7、筛网层数：≥4层，≥7片筛网</w:t>
                  </w:r>
                  <w:r>
                    <w:br/>
                  </w:r>
                  <w:r>
                    <w:rPr>
                      <w:rFonts w:ascii="仿宋_GB2312" w:hAnsi="仿宋_GB2312" w:cs="仿宋_GB2312" w:eastAsia="仿宋_GB2312"/>
                      <w:sz w:val="24"/>
                      <w:color w:val="000000"/>
                    </w:rPr>
                    <w:t xml:space="preserve"> 8、筛网面积：≥7.2m</w:t>
                  </w:r>
                  <w:r>
                    <w:rPr>
                      <w:rFonts w:ascii="仿宋_GB2312" w:hAnsi="仿宋_GB2312" w:cs="仿宋_GB2312" w:eastAsia="仿宋_GB2312"/>
                      <w:sz w:val="24"/>
                      <w:color w:val="000000"/>
                    </w:rPr>
                    <w:t>2</w:t>
                  </w:r>
                  <w:r>
                    <w:br/>
                  </w:r>
                  <w:r>
                    <w:rPr>
                      <w:rFonts w:ascii="仿宋_GB2312" w:hAnsi="仿宋_GB2312" w:cs="仿宋_GB2312" w:eastAsia="仿宋_GB2312"/>
                      <w:sz w:val="24"/>
                      <w:color w:val="000000"/>
                    </w:rPr>
                    <w:t xml:space="preserve"> 9、清筛形式：￠28清筛球</w:t>
                  </w:r>
                  <w:r>
                    <w:br/>
                  </w:r>
                  <w:r>
                    <w:rPr>
                      <w:rFonts w:ascii="仿宋_GB2312" w:hAnsi="仿宋_GB2312" w:cs="仿宋_GB2312" w:eastAsia="仿宋_GB2312"/>
                      <w:sz w:val="24"/>
                      <w:color w:val="000000"/>
                    </w:rPr>
                    <w:t xml:space="preserve"> 10、筛箱材料：船用多层板厚度≥16mm</w:t>
                  </w:r>
                  <w:r>
                    <w:br/>
                  </w:r>
                  <w:r>
                    <w:rPr>
                      <w:rFonts w:ascii="仿宋_GB2312" w:hAnsi="仿宋_GB2312" w:cs="仿宋_GB2312" w:eastAsia="仿宋_GB2312"/>
                      <w:sz w:val="24"/>
                      <w:color w:val="000000"/>
                    </w:rPr>
                    <w:t xml:space="preserve"> 11、筛箱振幅：≥13mm          </w:t>
                  </w:r>
                  <w:r>
                    <w:br/>
                  </w:r>
                  <w:r>
                    <w:rPr>
                      <w:rFonts w:ascii="仿宋_GB2312" w:hAnsi="仿宋_GB2312" w:cs="仿宋_GB2312" w:eastAsia="仿宋_GB2312"/>
                      <w:sz w:val="24"/>
                      <w:color w:val="000000"/>
                    </w:rPr>
                    <w:t xml:space="preserve"> 12、筛箱振动频率：≥280次／min</w:t>
                  </w:r>
                  <w:r>
                    <w:br/>
                  </w:r>
                  <w:r>
                    <w:rPr>
                      <w:rFonts w:ascii="仿宋_GB2312" w:hAnsi="仿宋_GB2312" w:cs="仿宋_GB2312" w:eastAsia="仿宋_GB2312"/>
                      <w:sz w:val="24"/>
                      <w:color w:val="000000"/>
                    </w:rPr>
                    <w:t xml:space="preserve"> 13、筛箱倾角：5°- 6°</w:t>
                  </w:r>
                  <w:r>
                    <w:br/>
                  </w:r>
                  <w:r>
                    <w:rPr>
                      <w:rFonts w:ascii="仿宋_GB2312" w:hAnsi="仿宋_GB2312" w:cs="仿宋_GB2312" w:eastAsia="仿宋_GB2312"/>
                      <w:sz w:val="24"/>
                      <w:color w:val="000000"/>
                    </w:rPr>
                    <w:t xml:space="preserve"> 14、风  量：≥5600m</w:t>
                  </w:r>
                  <w:r>
                    <w:rPr>
                      <w:rFonts w:ascii="仿宋_GB2312" w:hAnsi="仿宋_GB2312" w:cs="仿宋_GB2312" w:eastAsia="仿宋_GB2312"/>
                      <w:sz w:val="24"/>
                      <w:color w:val="000000"/>
                    </w:rPr>
                    <w:t>3</w:t>
                  </w:r>
                  <w:r>
                    <w:rPr>
                      <w:rFonts w:ascii="仿宋_GB2312" w:hAnsi="仿宋_GB2312" w:cs="仿宋_GB2312" w:eastAsia="仿宋_GB2312"/>
                      <w:sz w:val="24"/>
                      <w:color w:val="000000"/>
                    </w:rPr>
                    <w:t>/h</w:t>
                  </w:r>
                  <w:r>
                    <w:br/>
                  </w:r>
                  <w:r>
                    <w:rPr>
                      <w:rFonts w:ascii="仿宋_GB2312" w:hAnsi="仿宋_GB2312" w:cs="仿宋_GB2312" w:eastAsia="仿宋_GB2312"/>
                      <w:sz w:val="24"/>
                      <w:color w:val="000000"/>
                    </w:rPr>
                    <w:t xml:space="preserve"> 15、配小麦、水稻、玉米、油菜、豆类筛片各一套。</w:t>
                  </w:r>
                  <w:r>
                    <w:br/>
                  </w:r>
                  <w:r>
                    <w:rPr>
                      <w:rFonts w:ascii="仿宋_GB2312" w:hAnsi="仿宋_GB2312" w:cs="仿宋_GB2312" w:eastAsia="仿宋_GB2312"/>
                      <w:sz w:val="24"/>
                      <w:color w:val="000000"/>
                    </w:rPr>
                    <w:t xml:space="preserve"> 16、配套设备 除尘器，除尘风机，风筛选除尘管道除尘器材质：镀锌钢板。</w:t>
                  </w:r>
                  <w:r>
                    <w:br/>
                  </w:r>
                  <w:r>
                    <w:rPr>
                      <w:rFonts w:ascii="仿宋_GB2312" w:hAnsi="仿宋_GB2312" w:cs="仿宋_GB2312" w:eastAsia="仿宋_GB2312"/>
                      <w:sz w:val="24"/>
                      <w:color w:val="000000"/>
                    </w:rPr>
                    <w:t xml:space="preserve"> 17、成套附件配套系统，电器控制专柜，电缆，设施设备及布线桥架均采用国标铜芯。             </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2 </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比重式种子精选机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1、产  量：≥5t/h</w:t>
                  </w:r>
                  <w:r>
                    <w:br/>
                  </w:r>
                  <w:r>
                    <w:rPr>
                      <w:rFonts w:ascii="仿宋_GB2312" w:hAnsi="仿宋_GB2312" w:cs="仿宋_GB2312" w:eastAsia="仿宋_GB2312"/>
                      <w:sz w:val="24"/>
                      <w:color w:val="000000"/>
                    </w:rPr>
                    <w:t xml:space="preserve"> 2、功  率：≥16.05kw</w:t>
                  </w:r>
                  <w:r>
                    <w:br/>
                  </w:r>
                  <w:r>
                    <w:rPr>
                      <w:rFonts w:ascii="仿宋_GB2312" w:hAnsi="仿宋_GB2312" w:cs="仿宋_GB2312" w:eastAsia="仿宋_GB2312"/>
                      <w:sz w:val="24"/>
                      <w:color w:val="000000"/>
                    </w:rPr>
                    <w:t xml:space="preserve"> 3、获选率：≥98%</w:t>
                  </w:r>
                  <w:r>
                    <w:br/>
                  </w:r>
                  <w:r>
                    <w:rPr>
                      <w:rFonts w:ascii="仿宋_GB2312" w:hAnsi="仿宋_GB2312" w:cs="仿宋_GB2312" w:eastAsia="仿宋_GB2312"/>
                      <w:sz w:val="24"/>
                      <w:color w:val="000000"/>
                    </w:rPr>
                    <w:t xml:space="preserve"> 4、除杂率：≥98%</w:t>
                  </w:r>
                  <w:r>
                    <w:br/>
                  </w:r>
                  <w:r>
                    <w:rPr>
                      <w:rFonts w:ascii="仿宋_GB2312" w:hAnsi="仿宋_GB2312" w:cs="仿宋_GB2312" w:eastAsia="仿宋_GB2312"/>
                      <w:sz w:val="24"/>
                      <w:color w:val="000000"/>
                    </w:rPr>
                    <w:t xml:space="preserve"> 5、净  度：≥98%</w:t>
                  </w:r>
                  <w:r>
                    <w:br/>
                  </w:r>
                  <w:r>
                    <w:rPr>
                      <w:rFonts w:ascii="仿宋_GB2312" w:hAnsi="仿宋_GB2312" w:cs="仿宋_GB2312" w:eastAsia="仿宋_GB2312"/>
                      <w:sz w:val="24"/>
                      <w:color w:val="000000"/>
                    </w:rPr>
                    <w:t xml:space="preserve"> 6、振  幅：≥7mm</w:t>
                  </w:r>
                  <w:r>
                    <w:br/>
                  </w:r>
                  <w:r>
                    <w:rPr>
                      <w:rFonts w:ascii="仿宋_GB2312" w:hAnsi="仿宋_GB2312" w:cs="仿宋_GB2312" w:eastAsia="仿宋_GB2312"/>
                      <w:sz w:val="24"/>
                      <w:color w:val="000000"/>
                    </w:rPr>
                    <w:t xml:space="preserve"> 7、振动频率：280-900次/分钟</w:t>
                  </w:r>
                  <w:r>
                    <w:br/>
                  </w:r>
                  <w:r>
                    <w:rPr>
                      <w:rFonts w:ascii="仿宋_GB2312" w:hAnsi="仿宋_GB2312" w:cs="仿宋_GB2312" w:eastAsia="仿宋_GB2312"/>
                      <w:sz w:val="24"/>
                      <w:color w:val="000000"/>
                    </w:rPr>
                    <w:t xml:space="preserve"> 8、风  量：正压式≥20000m</w:t>
                  </w:r>
                  <w:r>
                    <w:rPr>
                      <w:rFonts w:ascii="仿宋_GB2312" w:hAnsi="仿宋_GB2312" w:cs="仿宋_GB2312" w:eastAsia="仿宋_GB2312"/>
                      <w:sz w:val="24"/>
                      <w:color w:val="000000"/>
                    </w:rPr>
                    <w:t>3</w:t>
                  </w:r>
                  <w:r>
                    <w:rPr>
                      <w:rFonts w:ascii="仿宋_GB2312" w:hAnsi="仿宋_GB2312" w:cs="仿宋_GB2312" w:eastAsia="仿宋_GB2312"/>
                      <w:sz w:val="24"/>
                      <w:color w:val="000000"/>
                    </w:rPr>
                    <w:t>/h</w:t>
                  </w:r>
                  <w:r>
                    <w:br/>
                  </w:r>
                  <w:r>
                    <w:rPr>
                      <w:rFonts w:ascii="仿宋_GB2312" w:hAnsi="仿宋_GB2312" w:cs="仿宋_GB2312" w:eastAsia="仿宋_GB2312"/>
                      <w:sz w:val="24"/>
                      <w:color w:val="000000"/>
                    </w:rPr>
                    <w:t xml:space="preserve"> 9、选种台面积：≥5.2m</w:t>
                  </w:r>
                  <w:r>
                    <w:rPr>
                      <w:rFonts w:ascii="仿宋_GB2312" w:hAnsi="仿宋_GB2312" w:cs="仿宋_GB2312" w:eastAsia="仿宋_GB2312"/>
                      <w:sz w:val="24"/>
                      <w:color w:val="000000"/>
                    </w:rPr>
                    <w:t>2</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 xml:space="preserve"> 10、配比重选缓冲仓、手自一体插板阀1套、除尘器，风机，管道主机变频调速，采用矩形选种台面，台面下方配有双层匀风板,自动平衡机构，纵向、横向倾角和振动频率可调节；可以更换不同选种台面。</w:t>
                  </w:r>
                  <w:r>
                    <w:br/>
                  </w:r>
                  <w:r>
                    <w:rPr>
                      <w:rFonts w:ascii="仿宋_GB2312" w:hAnsi="仿宋_GB2312" w:cs="仿宋_GB2312" w:eastAsia="仿宋_GB2312"/>
                      <w:sz w:val="24"/>
                      <w:color w:val="000000"/>
                    </w:rPr>
                    <w:t xml:space="preserve"> 11、成套附件配套系统，电器控制专柜，电缆，设施设备及布线桥架，均采用国标铜芯。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批次连续式包衣机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1、产  量：≥ 5t/h</w:t>
                  </w:r>
                  <w:r>
                    <w:br/>
                  </w:r>
                  <w:r>
                    <w:rPr>
                      <w:rFonts w:ascii="仿宋_GB2312" w:hAnsi="仿宋_GB2312" w:cs="仿宋_GB2312" w:eastAsia="仿宋_GB2312"/>
                      <w:sz w:val="24"/>
                      <w:color w:val="000000"/>
                    </w:rPr>
                    <w:t xml:space="preserve"> 2、配套动力: ≥13.5kw</w:t>
                  </w:r>
                  <w:r>
                    <w:br/>
                  </w:r>
                  <w:r>
                    <w:rPr>
                      <w:rFonts w:ascii="仿宋_GB2312" w:hAnsi="仿宋_GB2312" w:cs="仿宋_GB2312" w:eastAsia="仿宋_GB2312"/>
                      <w:sz w:val="24"/>
                      <w:color w:val="000000"/>
                    </w:rPr>
                    <w:t xml:space="preserve"> 3、药种比例: 1:100-1:300</w:t>
                  </w:r>
                  <w:r>
                    <w:br/>
                  </w:r>
                  <w:r>
                    <w:rPr>
                      <w:rFonts w:ascii="仿宋_GB2312" w:hAnsi="仿宋_GB2312" w:cs="仿宋_GB2312" w:eastAsia="仿宋_GB2312"/>
                      <w:sz w:val="24"/>
                      <w:color w:val="000000"/>
                    </w:rPr>
                    <w:t xml:space="preserve"> 4、包衣合格率：≥99.9%</w:t>
                  </w:r>
                  <w:r>
                    <w:br/>
                  </w:r>
                  <w:r>
                    <w:rPr>
                      <w:rFonts w:ascii="仿宋_GB2312" w:hAnsi="仿宋_GB2312" w:cs="仿宋_GB2312" w:eastAsia="仿宋_GB2312"/>
                      <w:sz w:val="24"/>
                      <w:color w:val="000000"/>
                    </w:rPr>
                    <w:t xml:space="preserve"> 5、包衣均匀度：≥99.9%</w:t>
                  </w:r>
                  <w:r>
                    <w:br/>
                  </w:r>
                  <w:r>
                    <w:rPr>
                      <w:rFonts w:ascii="仿宋_GB2312" w:hAnsi="仿宋_GB2312" w:cs="仿宋_GB2312" w:eastAsia="仿宋_GB2312"/>
                      <w:sz w:val="24"/>
                      <w:color w:val="000000"/>
                    </w:rPr>
                    <w:t xml:space="preserve"> 6、种子计量精度：±0.2%g</w:t>
                  </w:r>
                  <w:r>
                    <w:br/>
                  </w:r>
                  <w:r>
                    <w:rPr>
                      <w:rFonts w:ascii="仿宋_GB2312" w:hAnsi="仿宋_GB2312" w:cs="仿宋_GB2312" w:eastAsia="仿宋_GB2312"/>
                      <w:sz w:val="24"/>
                      <w:color w:val="000000"/>
                    </w:rPr>
                    <w:t xml:space="preserve"> 7、药液计量精度：±0.2%g</w:t>
                  </w:r>
                  <w:r>
                    <w:br/>
                  </w:r>
                  <w:r>
                    <w:rPr>
                      <w:rFonts w:ascii="仿宋_GB2312" w:hAnsi="仿宋_GB2312" w:cs="仿宋_GB2312" w:eastAsia="仿宋_GB2312"/>
                      <w:sz w:val="24"/>
                      <w:color w:val="000000"/>
                    </w:rPr>
                    <w:t xml:space="preserve"> 8、主体框架材料厚度：3-4mm，包衣锅直径≥1060mm，锥体10mm，种衣剂接触部分不锈钢制作。</w:t>
                  </w:r>
                  <w:r>
                    <w:br/>
                  </w:r>
                  <w:r>
                    <w:rPr>
                      <w:rFonts w:ascii="仿宋_GB2312" w:hAnsi="仿宋_GB2312" w:cs="仿宋_GB2312" w:eastAsia="仿宋_GB2312"/>
                      <w:sz w:val="24"/>
                      <w:color w:val="000000"/>
                    </w:rPr>
                    <w:t xml:space="preserve"> 9、每批次包衣种子重量 50-100KG，每批次包衣时间20-40秒。</w:t>
                  </w:r>
                  <w:r>
                    <w:br/>
                  </w:r>
                  <w:r>
                    <w:rPr>
                      <w:rFonts w:ascii="仿宋_GB2312" w:hAnsi="仿宋_GB2312" w:cs="仿宋_GB2312" w:eastAsia="仿宋_GB2312"/>
                      <w:sz w:val="24"/>
                      <w:color w:val="000000"/>
                    </w:rPr>
                    <w:t xml:space="preserve"> 10、挠性泵进药控制系统，药液自动称重，种子以雾化的方式包衣。智能设备：PLC电脑程序+液晶触摸屏，全中文操作界面，变频器多速段智能调速，所有程序由PLC可编程序控制器集中控制，故障自动诊断、报警、并提示故障点。</w:t>
                  </w:r>
                  <w:r>
                    <w:br/>
                  </w:r>
                  <w:r>
                    <w:rPr>
                      <w:rFonts w:ascii="仿宋_GB2312" w:hAnsi="仿宋_GB2312" w:cs="仿宋_GB2312" w:eastAsia="仿宋_GB2312"/>
                      <w:sz w:val="24"/>
                      <w:color w:val="000000"/>
                    </w:rPr>
                    <w:t xml:space="preserve"> 11、包衣机底座尺寸：长1.8m*宽1.3m*高0.8m。（含小平台）</w:t>
                  </w:r>
                  <w:r>
                    <w:br/>
                  </w:r>
                  <w:r>
                    <w:rPr>
                      <w:rFonts w:ascii="仿宋_GB2312" w:hAnsi="仿宋_GB2312" w:cs="仿宋_GB2312" w:eastAsia="仿宋_GB2312"/>
                      <w:sz w:val="24"/>
                      <w:color w:val="000000"/>
                    </w:rPr>
                    <w:t xml:space="preserve"> 12、包衣机缓冲仓容积:≥1.5m³、钢板厚度:≥2mm仓为焊接的全金属≥2mm优质冷轧钢板结构，所有仓底部设有控制种子流量的闸门，配有上下阻旋式上下料位器感应装置。</w:t>
                  </w:r>
                  <w:r>
                    <w:br/>
                  </w:r>
                  <w:r>
                    <w:rPr>
                      <w:rFonts w:ascii="仿宋_GB2312" w:hAnsi="仿宋_GB2312" w:cs="仿宋_GB2312" w:eastAsia="仿宋_GB2312"/>
                      <w:sz w:val="24"/>
                      <w:color w:val="000000"/>
                    </w:rPr>
                    <w:t xml:space="preserve"> 13、供药系统1套，配套动力:≥1.87kw 挠性泵进药控制系统，药液自动称重，种子以雾化的方式包衣。    14、成套附件配套系统，电器控制专柜，电缆，设施设备及布线桥架，均采用国标铜芯。       </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提升机</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4"/>
                      <w:color w:val="000000"/>
                    </w:rPr>
                    <w:t>1、提升转速：≥20m/min/套</w:t>
                  </w:r>
                  <w:r>
                    <w:br/>
                  </w:r>
                  <w:r>
                    <w:rPr>
                      <w:rFonts w:ascii="仿宋_GB2312" w:hAnsi="仿宋_GB2312" w:cs="仿宋_GB2312" w:eastAsia="仿宋_GB2312"/>
                      <w:sz w:val="24"/>
                      <w:color w:val="000000"/>
                    </w:rPr>
                    <w:t xml:space="preserve"> 2、产  量：≥5t/h/套</w:t>
                  </w:r>
                  <w:r>
                    <w:br/>
                  </w:r>
                  <w:r>
                    <w:rPr>
                      <w:rFonts w:ascii="仿宋_GB2312" w:hAnsi="仿宋_GB2312" w:cs="仿宋_GB2312" w:eastAsia="仿宋_GB2312"/>
                      <w:sz w:val="24"/>
                      <w:color w:val="000000"/>
                    </w:rPr>
                    <w:t xml:space="preserve"> 3、功  率：≥0.75kw/套                                                4、提升机下料管Φ150镀锌管制作/套</w:t>
                  </w:r>
                  <w:r>
                    <w:br/>
                  </w:r>
                  <w:r>
                    <w:rPr>
                      <w:rFonts w:ascii="仿宋_GB2312" w:hAnsi="仿宋_GB2312" w:cs="仿宋_GB2312" w:eastAsia="仿宋_GB2312"/>
                      <w:sz w:val="24"/>
                      <w:color w:val="000000"/>
                    </w:rPr>
                    <w:t xml:space="preserve"> 5、地坑进料组合1套 、进料地坑尺寸：长2000mm×宽1600mm×深1600mm。钢板厚度:≥2.0mm，45#耐磨板≥1.5m³。并配有安全金属栅格网，防止大杂或编织袋等杂物进入提升机。</w:t>
                  </w:r>
                  <w:r>
                    <w:br/>
                  </w:r>
                  <w:r>
                    <w:rPr>
                      <w:rFonts w:ascii="仿宋_GB2312" w:hAnsi="仿宋_GB2312" w:cs="仿宋_GB2312" w:eastAsia="仿宋_GB2312"/>
                      <w:sz w:val="24"/>
                      <w:color w:val="000000"/>
                    </w:rPr>
                    <w:t xml:space="preserve"> 6、手自一体插板阀（地坑出料用）气动控制，可手动/自动转换，流量：≥5t/h。</w:t>
                  </w:r>
                  <w:r>
                    <w:br/>
                  </w:r>
                  <w:r>
                    <w:rPr>
                      <w:rFonts w:ascii="仿宋_GB2312" w:hAnsi="仿宋_GB2312" w:cs="仿宋_GB2312" w:eastAsia="仿宋_GB2312"/>
                      <w:sz w:val="24"/>
                      <w:color w:val="000000"/>
                    </w:rPr>
                    <w:t xml:space="preserve"> 7、成套附件配套系统，电器控制专柜，电缆，设施设备及布线桥架，均采用国标铜芯。</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5 </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植保无人机（核心产品）</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rPr>
                    <w:t>1、★工作状态下的外形尺寸(长x宽x高)≤1945*2048*980</w:t>
                  </w:r>
                  <w:r>
                    <w:br/>
                  </w:r>
                  <w:r>
                    <w:rPr>
                      <w:rFonts w:ascii="仿宋_GB2312" w:hAnsi="仿宋_GB2312" w:cs="仿宋_GB2312" w:eastAsia="仿宋_GB2312"/>
                    </w:rPr>
                    <w:t xml:space="preserve"> 2、★空机质量:≤78Kg</w:t>
                  </w:r>
                  <w:r>
                    <w:br/>
                  </w:r>
                  <w:r>
                    <w:rPr>
                      <w:rFonts w:ascii="仿宋_GB2312" w:hAnsi="仿宋_GB2312" w:cs="仿宋_GB2312" w:eastAsia="仿宋_GB2312"/>
                    </w:rPr>
                    <w:t xml:space="preserve"> 3、★药箱容积≥70L</w:t>
                  </w:r>
                  <w:r>
                    <w:br/>
                  </w:r>
                  <w:r>
                    <w:rPr>
                      <w:rFonts w:ascii="仿宋_GB2312" w:hAnsi="仿宋_GB2312" w:cs="仿宋_GB2312" w:eastAsia="仿宋_GB2312"/>
                    </w:rPr>
                    <w:t xml:space="preserve"> 须配置:智能超充电池数量6块/台。智能手柄、双手遥控器吊运系统。移动式充电站(1套):额定功率:≥15KW，最大输出功率:≥16KW，电启动。移动式充电站(1套)额定功率:≥10KW，最大输出功率:≥11KW，电启动。</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6 </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植保无人机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rPr>
                    <w:t>1、★工作状态下的外形尺寸(长x宽x高)≤1685*1880*830</w:t>
                  </w:r>
                  <w:r>
                    <w:br/>
                  </w:r>
                  <w:r>
                    <w:rPr>
                      <w:rFonts w:ascii="仿宋_GB2312" w:hAnsi="仿宋_GB2312" w:cs="仿宋_GB2312" w:eastAsia="仿宋_GB2312"/>
                    </w:rPr>
                    <w:t xml:space="preserve"> 2、★空机质量:≤56kg</w:t>
                  </w:r>
                  <w:r>
                    <w:br/>
                  </w:r>
                  <w:r>
                    <w:rPr>
                      <w:rFonts w:ascii="仿宋_GB2312" w:hAnsi="仿宋_GB2312" w:cs="仿宋_GB2312" w:eastAsia="仿宋_GB2312"/>
                    </w:rPr>
                    <w:t xml:space="preserve"> 3、★药箱容积≥45L</w:t>
                  </w:r>
                  <w:r>
                    <w:br/>
                  </w:r>
                  <w:r>
                    <w:rPr>
                      <w:rFonts w:ascii="仿宋_GB2312" w:hAnsi="仿宋_GB2312" w:cs="仿宋_GB2312" w:eastAsia="仿宋_GB2312"/>
                    </w:rPr>
                    <w:t xml:space="preserve"> 4、喷头型式:离心式</w:t>
                  </w:r>
                  <w:r>
                    <w:br/>
                  </w:r>
                  <w:r>
                    <w:rPr>
                      <w:rFonts w:ascii="仿宋_GB2312" w:hAnsi="仿宋_GB2312" w:cs="仿宋_GB2312" w:eastAsia="仿宋_GB2312"/>
                    </w:rPr>
                    <w:t xml:space="preserve"> 须配置:智能超充电池数量8块，移动式充电站(2组)。</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7 </w:t>
                  </w:r>
                </w:p>
              </w:tc>
              <w:tc>
                <w:tcPr>
                  <w:tcW w:type="dxa" w:w="1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油菜种子编织机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1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02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4"/>
                      <w:color w:val="000000"/>
                    </w:rPr>
                    <w:t>1、主配置：主电机直流变频电机,全数控电机，航空氧化铝工艺零部件，≥320mm吸盘。</w:t>
                  </w:r>
                  <w:r>
                    <w:br/>
                  </w:r>
                  <w:r>
                    <w:rPr>
                      <w:rFonts w:ascii="仿宋_GB2312" w:hAnsi="仿宋_GB2312" w:cs="仿宋_GB2312" w:eastAsia="仿宋_GB2312"/>
                      <w:sz w:val="24"/>
                      <w:color w:val="000000"/>
                    </w:rPr>
                    <w:t xml:space="preserve"> 2、控制器：第10代PC芯片，多轴多通道工作模式; ≥7英寸触控屏幕。</w:t>
                  </w:r>
                  <w:r>
                    <w:br/>
                  </w:r>
                  <w:r>
                    <w:rPr>
                      <w:rFonts w:ascii="仿宋_GB2312" w:hAnsi="仿宋_GB2312" w:cs="仿宋_GB2312" w:eastAsia="仿宋_GB2312"/>
                      <w:sz w:val="24"/>
                      <w:color w:val="000000"/>
                    </w:rPr>
                    <w:t xml:space="preserve"> 3、真空泵：功率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0.75千瓦。</w:t>
                  </w:r>
                  <w:r>
                    <w:br/>
                  </w:r>
                  <w:r>
                    <w:rPr>
                      <w:rFonts w:ascii="仿宋_GB2312" w:hAnsi="仿宋_GB2312" w:cs="仿宋_GB2312" w:eastAsia="仿宋_GB2312"/>
                      <w:sz w:val="24"/>
                      <w:color w:val="000000"/>
                    </w:rPr>
                    <w:t xml:space="preserve"> 4、工作效率最大值：≥4500米/小时。</w:t>
                  </w:r>
                  <w:r>
                    <w:br/>
                  </w:r>
                  <w:r>
                    <w:rPr>
                      <w:rFonts w:ascii="仿宋_GB2312" w:hAnsi="仿宋_GB2312" w:cs="仿宋_GB2312" w:eastAsia="仿宋_GB2312"/>
                      <w:sz w:val="24"/>
                      <w:color w:val="000000"/>
                    </w:rPr>
                    <w:t xml:space="preserve"> 5、完备自检、报警系统,种量检测功能，断纸光电传感器。</w:t>
                  </w:r>
                  <w:r>
                    <w:br/>
                  </w:r>
                  <w:r>
                    <w:rPr>
                      <w:rFonts w:ascii="仿宋_GB2312" w:hAnsi="仿宋_GB2312" w:cs="仿宋_GB2312" w:eastAsia="仿宋_GB2312"/>
                      <w:sz w:val="24"/>
                      <w:color w:val="000000"/>
                    </w:rPr>
                    <w:t xml:space="preserve"> 6、电压：220V电压;控制电压DC24V低电压。</w:t>
                  </w:r>
                  <w:r>
                    <w:br/>
                  </w:r>
                  <w:r>
                    <w:rPr>
                      <w:rFonts w:ascii="仿宋_GB2312" w:hAnsi="仿宋_GB2312" w:cs="仿宋_GB2312" w:eastAsia="仿宋_GB2312"/>
                      <w:sz w:val="24"/>
                      <w:color w:val="000000"/>
                    </w:rPr>
                    <w:t xml:space="preserve"> 7、适合各种不同孔数(可编织1粒、2粒、3粒到多粒）</w:t>
                  </w:r>
                  <w:r>
                    <w:br/>
                  </w:r>
                  <w:r>
                    <w:rPr>
                      <w:rFonts w:ascii="仿宋_GB2312" w:hAnsi="仿宋_GB2312" w:cs="仿宋_GB2312" w:eastAsia="仿宋_GB2312"/>
                      <w:sz w:val="24"/>
                      <w:color w:val="000000"/>
                    </w:rPr>
                    <w:t xml:space="preserve"> 8、总功率：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1.35KW</w:t>
                  </w:r>
                  <w:r>
                    <w:br/>
                  </w:r>
                  <w:r>
                    <w:rPr>
                      <w:rFonts w:ascii="仿宋_GB2312" w:hAnsi="仿宋_GB2312" w:cs="仿宋_GB2312" w:eastAsia="仿宋_GB2312"/>
                      <w:sz w:val="24"/>
                      <w:color w:val="000000"/>
                    </w:rPr>
                    <w:t xml:space="preserve"> 9、播种带10箱（≥18MM*16万米/箱），线盘30箱（50个/箱），手推式</w:t>
                  </w:r>
                  <w:r>
                    <w:rPr>
                      <w:rFonts w:ascii="仿宋_GB2312" w:hAnsi="仿宋_GB2312" w:cs="仿宋_GB2312" w:eastAsia="仿宋_GB2312"/>
                      <w:sz w:val="24"/>
                      <w:color w:val="000000"/>
                    </w:rPr>
                    <w:t>精量种子播种机10台，3行</w:t>
                  </w:r>
                  <w:r>
                    <w:rPr>
                      <w:rFonts w:ascii="仿宋_GB2312" w:hAnsi="仿宋_GB2312" w:cs="仿宋_GB2312" w:eastAsia="仿宋_GB2312"/>
                      <w:sz w:val="24"/>
                      <w:color w:val="000000"/>
                    </w:rPr>
                    <w:t>播线机10台。</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97"/>
              <w:gridCol w:w="177"/>
              <w:gridCol w:w="126"/>
              <w:gridCol w:w="126"/>
              <w:gridCol w:w="2023"/>
            </w:tblGrid>
            <w:tr>
              <w:tc>
                <w:tcPr>
                  <w:tcW w:type="dxa" w:w="9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种子分离机(精选机)</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12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台</w:t>
                  </w:r>
                </w:p>
              </w:tc>
              <w:tc>
                <w:tcPr>
                  <w:tcW w:type="dxa" w:w="202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4"/>
                      <w:color w:val="000000"/>
                    </w:rPr>
                    <w:t xml:space="preserve">重力式精选机，产量：≥150kg/h，净度：≥98%。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设备全部送达指定地点并安装、调试完成后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按国家/农机行业相关标准及企业标准执行，质量符合法规及采购人提供参数要求；供应商完成设备安装调试至正常运行、提供操作培训，提交设备合格证等资料，经采购人现场查验合格后通过验收。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合同内所有范围，保修期1年。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供设备、完成安装调试及培训，或设备不达标、存在侵权等，采购人有权追责，按《中华人民共和国政府采购法》《中华人民共和国民法典》执行；争议先通过和解或调解解决，如不成，则向汉中市仲裁委员会申请仲裁。</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按照谈判文件格式要求进行签署盖章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供应商应提交的相关资格证明材料.pdf 标的清单 报价表 响应函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符合“谈判文件格式”的规定</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供应商应提交的相关资格证明材料.pdf 标的清单 报价表 响应函 监狱企业的证明文件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1、带“★”参数为实质性要求，必须完全满足，不允许负偏离，否则响应无效。 2、不带“★”参数为非实质性要求，允许负偏离，但不得影响产品核心功能及采购需求实现，偏离程度将作为谈判评审的重要参考因素。 3、所有技术参数（含“★”与非“★”），均需提供相关证明材料。</w:t>
            </w:r>
          </w:p>
        </w:tc>
        <w:tc>
          <w:tcPr>
            <w:tcW w:type="dxa" w:w="1661"/>
          </w:tcPr>
          <w:p>
            <w:pPr>
              <w:pStyle w:val="null3"/>
            </w:pPr>
            <w:r>
              <w:rPr>
                <w:rFonts w:ascii="仿宋_GB2312" w:hAnsi="仿宋_GB2312" w:cs="仿宋_GB2312" w:eastAsia="仿宋_GB2312"/>
              </w:rPr>
              <w:t>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