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版本号：SXJC-HZ-202533.1B120251130001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汉中富民种业油菜种子生产基地提升项目(二次)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SXJC-HZ-202533.1B1</w:t>
      </w:r>
      <w:r>
        <w:br/>
      </w:r>
      <w:r>
        <w:br/>
      </w:r>
      <w:r>
        <w:br/>
      </w:r>
    </w:p>
    <w:p>
      <w:pPr>
        <w:pStyle w:val="null3"/>
        <w:jc w:val="center"/>
        <w:outlineLvl w:val="2"/>
      </w:pPr>
      <w:r>
        <w:rPr>
          <w:rFonts w:ascii="仿宋_GB2312" w:hAnsi="仿宋_GB2312" w:cs="仿宋_GB2312" w:eastAsia="仿宋_GB2312"/>
          <w:sz w:val="28"/>
          <w:b/>
        </w:rPr>
        <w:t>汉中市南郑区新集镇人民政府</w:t>
      </w:r>
    </w:p>
    <w:p>
      <w:pPr>
        <w:pStyle w:val="null3"/>
        <w:jc w:val="center"/>
        <w:outlineLvl w:val="2"/>
      </w:pPr>
      <w:r>
        <w:rPr>
          <w:rFonts w:ascii="仿宋_GB2312" w:hAnsi="仿宋_GB2312" w:cs="仿宋_GB2312" w:eastAsia="仿宋_GB2312"/>
          <w:sz w:val="28"/>
          <w:b/>
        </w:rPr>
        <w:t>陕西加诚项目管理有限公司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陕西加诚项目管理有限公司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汉中市南郑区新集镇人民政府</w:t>
      </w:r>
      <w:r>
        <w:rPr>
          <w:rFonts w:ascii="仿宋_GB2312" w:hAnsi="仿宋_GB2312" w:cs="仿宋_GB2312" w:eastAsia="仿宋_GB2312"/>
        </w:rPr>
        <w:t>委托，拟对</w:t>
      </w:r>
      <w:r>
        <w:rPr>
          <w:rFonts w:ascii="仿宋_GB2312" w:hAnsi="仿宋_GB2312" w:cs="仿宋_GB2312" w:eastAsia="仿宋_GB2312"/>
        </w:rPr>
        <w:t>汉中富民种业油菜种子生产基地提升项目(二次)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SXJC-HZ-202533.1B1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汉中富民种业油菜种子生产基地提升项目(二次)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购置植保无人机 4 套、微耕机 30 台、电动喷雾器 20 台、小型燃油抽水泵 4 台,提升油菜种子生产基地机械化作业水平，确保产效提升。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汉中市南郑区新集镇人民政府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南郑区新集镇西关村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汉中市南郑区新集镇人民政府经办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13399169791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陕西加诚项目管理有限公司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陕西省汉中市南郑区大河坎镇海韵丹桂园售楼部东侧三楼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熊咏怡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15249169333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采购包1：333,600.00元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开户名称：陕西加诚项目管理有限公司</w:t>
            </w:r>
          </w:p>
          <w:p>
            <w:pPr>
              <w:pStyle w:val="null3"/>
            </w:pPr>
            <w:r>
              <w:rPr>
                <w:rFonts w:ascii="仿宋_GB2312" w:hAnsi="仿宋_GB2312" w:cs="仿宋_GB2312" w:eastAsia="仿宋_GB2312"/>
              </w:rPr>
              <w:t>开户银行：中国建设银行股份有限公司汉中南郑支行</w:t>
            </w:r>
          </w:p>
          <w:p>
            <w:pPr>
              <w:pStyle w:val="null3"/>
            </w:pPr>
            <w:r>
              <w:rPr>
                <w:rFonts w:ascii="仿宋_GB2312" w:hAnsi="仿宋_GB2312" w:cs="仿宋_GB2312" w:eastAsia="仿宋_GB2312"/>
              </w:rPr>
              <w:t>银行账号：61050165711100000724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代理服务费收费标准：参照国家计委颁布的《招标代理服务收费管理暂行办法》（计价格[2002]1980号）和（发改办价格[2003]857号）文收费标准进行计</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汉中市南郑区新集镇人民政府</w:t>
      </w:r>
      <w:r>
        <w:rPr>
          <w:rFonts w:ascii="仿宋_GB2312" w:hAnsi="仿宋_GB2312" w:cs="仿宋_GB2312" w:eastAsia="仿宋_GB2312"/>
        </w:rPr>
        <w:t>和</w:t>
      </w:r>
      <w:r>
        <w:rPr>
          <w:rFonts w:ascii="仿宋_GB2312" w:hAnsi="仿宋_GB2312" w:cs="仿宋_GB2312" w:eastAsia="仿宋_GB2312"/>
        </w:rPr>
        <w:t>陕西加诚项目管理有限公司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汉中市南郑区新集镇人民政府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陕西加诚项目管理有限公司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汉中市南郑区新集镇人民政府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陕西加诚项目管理有限公司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产品质量合格，技术参数达标，使用正常</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联系人：熊咏仪</w:t>
      </w:r>
    </w:p>
    <w:p>
      <w:pPr>
        <w:pStyle w:val="null3"/>
      </w:pPr>
      <w:r>
        <w:rPr>
          <w:rFonts w:ascii="仿宋_GB2312" w:hAnsi="仿宋_GB2312" w:cs="仿宋_GB2312" w:eastAsia="仿宋_GB2312"/>
        </w:rPr>
        <w:t>联系电话：15249169333</w:t>
      </w:r>
    </w:p>
    <w:p>
      <w:pPr>
        <w:pStyle w:val="null3"/>
      </w:pPr>
      <w:r>
        <w:rPr>
          <w:rFonts w:ascii="仿宋_GB2312" w:hAnsi="仿宋_GB2312" w:cs="仿宋_GB2312" w:eastAsia="仿宋_GB2312"/>
        </w:rPr>
        <w:t>地址：陕西省汉中市南郑区大河坎镇海韵丹桂园售楼部东侧三楼</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购置植保无人机 4 套、微耕机 30 台、电动喷雾器 20 台、小型燃油抽水泵 4 台,提升油菜种子生产基地机械化作业水平，确保产效提升。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333,600.00</w:t>
      </w:r>
    </w:p>
    <w:p>
      <w:pPr>
        <w:pStyle w:val="null3"/>
      </w:pPr>
      <w:r>
        <w:rPr>
          <w:rFonts w:ascii="仿宋_GB2312" w:hAnsi="仿宋_GB2312" w:cs="仿宋_GB2312" w:eastAsia="仿宋_GB2312"/>
        </w:rPr>
        <w:t>采购包最高限价（元）: 333,600.00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植保无人机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227,600.00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微耕机</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电动喷雾器</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小型燃油抽水泵</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标的名称：植保无人机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1.机架构型：折叠式结构；轴距≥2400mm；</w:t>
            </w:r>
          </w:p>
          <w:p>
            <w:pPr>
              <w:pStyle w:val="null3"/>
            </w:pPr>
            <w:r>
              <w:rPr>
                <w:rFonts w:ascii="仿宋_GB2312" w:hAnsi="仿宋_GB2312" w:cs="仿宋_GB2312" w:eastAsia="仿宋_GB2312"/>
                <w:sz w:val="24"/>
                <w:color w:val="000000"/>
              </w:rPr>
              <w:t>2.整机重量（含电池）≥</w:t>
            </w:r>
            <w:r>
              <w:rPr>
                <w:rFonts w:ascii="仿宋_GB2312" w:hAnsi="仿宋_GB2312" w:cs="仿宋_GB2312" w:eastAsia="仿宋_GB2312"/>
                <w:sz w:val="24"/>
                <w:color w:val="000000"/>
              </w:rPr>
              <w:t>45</w:t>
            </w:r>
            <w:r>
              <w:rPr>
                <w:rFonts w:ascii="仿宋_GB2312" w:hAnsi="仿宋_GB2312" w:cs="仿宋_GB2312" w:eastAsia="仿宋_GB2312"/>
                <w:sz w:val="24"/>
                <w:color w:val="000000"/>
              </w:rPr>
              <w:t>kg；最大起飞重量（2喷头）≥</w:t>
            </w:r>
            <w:r>
              <w:rPr>
                <w:rFonts w:ascii="仿宋_GB2312" w:hAnsi="仿宋_GB2312" w:cs="仿宋_GB2312" w:eastAsia="仿宋_GB2312"/>
                <w:sz w:val="24"/>
                <w:color w:val="000000"/>
              </w:rPr>
              <w:t>95</w:t>
            </w:r>
            <w:r>
              <w:rPr>
                <w:rFonts w:ascii="仿宋_GB2312" w:hAnsi="仿宋_GB2312" w:cs="仿宋_GB2312" w:eastAsia="仿宋_GB2312"/>
                <w:sz w:val="24"/>
                <w:color w:val="000000"/>
              </w:rPr>
              <w:t>kg；</w:t>
            </w:r>
          </w:p>
          <w:p>
            <w:pPr>
              <w:pStyle w:val="null3"/>
            </w:pPr>
            <w:r>
              <w:rPr>
                <w:rFonts w:ascii="仿宋_GB2312" w:hAnsi="仿宋_GB2312" w:cs="仿宋_GB2312" w:eastAsia="仿宋_GB2312"/>
                <w:sz w:val="24"/>
                <w:color w:val="000000"/>
              </w:rPr>
              <w:t>3.最大飞行半径≥</w:t>
            </w:r>
            <w:r>
              <w:rPr>
                <w:rFonts w:ascii="仿宋_GB2312" w:hAnsi="仿宋_GB2312" w:cs="仿宋_GB2312" w:eastAsia="仿宋_GB2312"/>
                <w:sz w:val="24"/>
                <w:color w:val="000000"/>
              </w:rPr>
              <w:t>1.5</w:t>
            </w:r>
            <w:r>
              <w:rPr>
                <w:rFonts w:ascii="仿宋_GB2312" w:hAnsi="仿宋_GB2312" w:cs="仿宋_GB2312" w:eastAsia="仿宋_GB2312"/>
                <w:sz w:val="24"/>
                <w:color w:val="000000"/>
              </w:rPr>
              <w:t>km；</w:t>
            </w:r>
          </w:p>
          <w:p>
            <w:pPr>
              <w:pStyle w:val="null3"/>
            </w:pPr>
            <w:r>
              <w:rPr>
                <w:rFonts w:ascii="仿宋_GB2312" w:hAnsi="仿宋_GB2312" w:cs="仿宋_GB2312" w:eastAsia="仿宋_GB2312"/>
                <w:sz w:val="24"/>
                <w:color w:val="000000"/>
              </w:rPr>
              <w:t>4.外形尺寸（机臂、桨叶展开）≥3100mm×3</w:t>
            </w:r>
            <w:r>
              <w:rPr>
                <w:rFonts w:ascii="仿宋_GB2312" w:hAnsi="仿宋_GB2312" w:cs="仿宋_GB2312" w:eastAsia="仿宋_GB2312"/>
                <w:sz w:val="24"/>
                <w:color w:val="000000"/>
              </w:rPr>
              <w:t>5</w:t>
            </w:r>
            <w:r>
              <w:rPr>
                <w:rFonts w:ascii="仿宋_GB2312" w:hAnsi="仿宋_GB2312" w:cs="仿宋_GB2312" w:eastAsia="仿宋_GB2312"/>
                <w:sz w:val="24"/>
                <w:color w:val="000000"/>
              </w:rPr>
              <w:t>00mm×9</w:t>
            </w:r>
            <w:r>
              <w:rPr>
                <w:rFonts w:ascii="仿宋_GB2312" w:hAnsi="仿宋_GB2312" w:cs="仿宋_GB2312" w:eastAsia="仿宋_GB2312"/>
                <w:sz w:val="24"/>
                <w:color w:val="000000"/>
              </w:rPr>
              <w:t>3</w:t>
            </w:r>
            <w:r>
              <w:rPr>
                <w:rFonts w:ascii="仿宋_GB2312" w:hAnsi="仿宋_GB2312" w:cs="仿宋_GB2312" w:eastAsia="仿宋_GB2312"/>
                <w:sz w:val="24"/>
                <w:color w:val="000000"/>
              </w:rPr>
              <w:t>0mm；</w:t>
            </w:r>
          </w:p>
          <w:p>
            <w:pPr>
              <w:pStyle w:val="null3"/>
            </w:pPr>
            <w:r>
              <w:rPr>
                <w:rFonts w:ascii="仿宋_GB2312" w:hAnsi="仿宋_GB2312" w:cs="仿宋_GB2312" w:eastAsia="仿宋_GB2312"/>
                <w:sz w:val="24"/>
                <w:color w:val="000000"/>
              </w:rPr>
              <w:t>5.电机定子尺寸直径≥150mm，高度≥</w:t>
            </w:r>
            <w:r>
              <w:rPr>
                <w:rFonts w:ascii="仿宋_GB2312" w:hAnsi="仿宋_GB2312" w:cs="仿宋_GB2312" w:eastAsia="仿宋_GB2312"/>
                <w:sz w:val="24"/>
                <w:color w:val="000000"/>
              </w:rPr>
              <w:t>16</w:t>
            </w:r>
            <w:r>
              <w:rPr>
                <w:rFonts w:ascii="仿宋_GB2312" w:hAnsi="仿宋_GB2312" w:cs="仿宋_GB2312" w:eastAsia="仿宋_GB2312"/>
                <w:sz w:val="24"/>
                <w:color w:val="000000"/>
              </w:rPr>
              <w:t>mm，KV值不小于</w:t>
            </w:r>
            <w:r>
              <w:rPr>
                <w:rFonts w:ascii="仿宋_GB2312" w:hAnsi="仿宋_GB2312" w:cs="仿宋_GB2312" w:eastAsia="仿宋_GB2312"/>
                <w:sz w:val="24"/>
                <w:color w:val="000000"/>
              </w:rPr>
              <w:t>5</w:t>
            </w:r>
            <w:r>
              <w:rPr>
                <w:rFonts w:ascii="仿宋_GB2312" w:hAnsi="仿宋_GB2312" w:cs="仿宋_GB2312" w:eastAsia="仿宋_GB2312"/>
                <w:sz w:val="24"/>
                <w:color w:val="000000"/>
              </w:rPr>
              <w:t>5RPM/V；</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螺旋桨尺寸</w:t>
            </w:r>
            <w:r>
              <w:rPr>
                <w:rFonts w:ascii="仿宋_GB2312" w:hAnsi="仿宋_GB2312" w:cs="仿宋_GB2312" w:eastAsia="仿宋_GB2312"/>
                <w:sz w:val="24"/>
                <w:color w:val="000000"/>
              </w:rPr>
              <w:t>≥60英寸；旋翼数量≥4对；</w:t>
            </w:r>
          </w:p>
          <w:p>
            <w:pPr>
              <w:pStyle w:val="null3"/>
            </w:pPr>
            <w:r>
              <w:rPr>
                <w:rFonts w:ascii="仿宋_GB2312" w:hAnsi="仿宋_GB2312" w:cs="仿宋_GB2312" w:eastAsia="仿宋_GB2312"/>
                <w:sz w:val="24"/>
                <w:color w:val="000000"/>
              </w:rPr>
              <w:t>7.电池容量≥</w:t>
            </w:r>
            <w:r>
              <w:rPr>
                <w:rFonts w:ascii="仿宋_GB2312" w:hAnsi="仿宋_GB2312" w:cs="仿宋_GB2312" w:eastAsia="仿宋_GB2312"/>
                <w:sz w:val="24"/>
                <w:color w:val="000000"/>
              </w:rPr>
              <w:t>2</w:t>
            </w:r>
            <w:r>
              <w:rPr>
                <w:rFonts w:ascii="仿宋_GB2312" w:hAnsi="仿宋_GB2312" w:cs="仿宋_GB2312" w:eastAsia="仿宋_GB2312"/>
                <w:sz w:val="24"/>
                <w:color w:val="000000"/>
              </w:rPr>
              <w:t>0000mAh，电压≥5</w:t>
            </w:r>
            <w:r>
              <w:rPr>
                <w:rFonts w:ascii="仿宋_GB2312" w:hAnsi="仿宋_GB2312" w:cs="仿宋_GB2312" w:eastAsia="仿宋_GB2312"/>
                <w:sz w:val="24"/>
                <w:color w:val="000000"/>
              </w:rPr>
              <w:t>2</w:t>
            </w:r>
            <w:r>
              <w:rPr>
                <w:rFonts w:ascii="仿宋_GB2312" w:hAnsi="仿宋_GB2312" w:cs="仿宋_GB2312" w:eastAsia="仿宋_GB2312"/>
                <w:sz w:val="24"/>
                <w:color w:val="000000"/>
              </w:rPr>
              <w:t>V；</w:t>
            </w:r>
          </w:p>
          <w:p>
            <w:pPr>
              <w:pStyle w:val="null3"/>
              <w:jc w:val="both"/>
            </w:pPr>
            <w:r>
              <w:rPr>
                <w:rFonts w:ascii="仿宋_GB2312" w:hAnsi="仿宋_GB2312" w:cs="仿宋_GB2312" w:eastAsia="仿宋_GB2312"/>
                <w:sz w:val="24"/>
                <w:color w:val="000000"/>
              </w:rPr>
              <w:t>8.遥控器显示界面≥</w:t>
            </w:r>
            <w:r>
              <w:rPr>
                <w:rFonts w:ascii="仿宋_GB2312" w:hAnsi="仿宋_GB2312" w:cs="仿宋_GB2312" w:eastAsia="仿宋_GB2312"/>
                <w:sz w:val="24"/>
                <w:color w:val="000000"/>
              </w:rPr>
              <w:t>7英寸触控液晶显示屏，分辨率1920×1200，亮度1400cd/m²</w:t>
            </w:r>
          </w:p>
          <w:p>
            <w:pPr>
              <w:pStyle w:val="null3"/>
            </w:pPr>
            <w:r>
              <w:rPr>
                <w:rFonts w:ascii="仿宋_GB2312" w:hAnsi="仿宋_GB2312" w:cs="仿宋_GB2312" w:eastAsia="仿宋_GB2312"/>
                <w:sz w:val="24"/>
                <w:color w:val="000000"/>
              </w:rPr>
              <w:t>9.喷洒系统：喷头数量≥2个；作业箱容积≥50L；最大作业载荷≥50kg；</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.配备变频充电站，充电时间≤10分钟；油箱容量</w:t>
            </w:r>
            <w:r>
              <w:rPr>
                <w:rFonts w:ascii="仿宋_GB2312" w:hAnsi="仿宋_GB2312" w:cs="仿宋_GB2312" w:eastAsia="仿宋_GB2312"/>
                <w:sz w:val="24"/>
                <w:color w:val="000000"/>
              </w:rPr>
              <w:t>2</w:t>
            </w:r>
            <w:r>
              <w:rPr>
                <w:rFonts w:ascii="仿宋_GB2312" w:hAnsi="仿宋_GB2312" w:cs="仿宋_GB2312" w:eastAsia="仿宋_GB2312"/>
                <w:sz w:val="24"/>
                <w:color w:val="000000"/>
              </w:rPr>
              <w:t>0L，启动方式：一键启动；工作环境温度：0℃ -40℃；燃料类型：92#以上标号汽油。</w:t>
            </w:r>
          </w:p>
        </w:tc>
      </w:tr>
    </w:tbl>
    <w:p>
      <w:pPr>
        <w:pStyle w:val="null3"/>
      </w:pPr>
      <w:r>
        <w:rPr>
          <w:rFonts w:ascii="仿宋_GB2312" w:hAnsi="仿宋_GB2312" w:cs="仿宋_GB2312" w:eastAsia="仿宋_GB2312"/>
        </w:rPr>
        <w:t>标的名称：微耕机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1.功率：≥2.</w:t>
            </w:r>
            <w:r>
              <w:rPr>
                <w:rFonts w:ascii="仿宋_GB2312" w:hAnsi="仿宋_GB2312" w:cs="仿宋_GB2312" w:eastAsia="仿宋_GB2312"/>
                <w:sz w:val="24"/>
                <w:color w:val="000000"/>
              </w:rPr>
              <w:t>5</w:t>
            </w:r>
            <w:r>
              <w:rPr>
                <w:rFonts w:ascii="仿宋_GB2312" w:hAnsi="仿宋_GB2312" w:cs="仿宋_GB2312" w:eastAsia="仿宋_GB2312"/>
                <w:sz w:val="24"/>
                <w:color w:val="000000"/>
              </w:rPr>
              <w:t>kw</w:t>
            </w:r>
          </w:p>
          <w:p>
            <w:pPr>
              <w:pStyle w:val="null3"/>
              <w:jc w:val="left"/>
            </w:pPr>
            <w:r>
              <w:rPr>
                <w:rFonts w:ascii="仿宋_GB2312" w:hAnsi="仿宋_GB2312" w:cs="仿宋_GB2312" w:eastAsia="仿宋_GB2312"/>
                <w:sz w:val="24"/>
                <w:color w:val="000000"/>
              </w:rPr>
              <w:t>2.转数≥3300r/min</w:t>
            </w:r>
          </w:p>
          <w:p>
            <w:pPr>
              <w:pStyle w:val="null3"/>
              <w:jc w:val="left"/>
            </w:pPr>
            <w:r>
              <w:rPr>
                <w:rFonts w:ascii="仿宋_GB2312" w:hAnsi="仿宋_GB2312" w:cs="仿宋_GB2312" w:eastAsia="仿宋_GB2312"/>
                <w:sz w:val="24"/>
                <w:color w:val="000000"/>
              </w:rPr>
              <w:t>3.耕宽≥35cm</w:t>
            </w:r>
          </w:p>
          <w:p>
            <w:pPr>
              <w:pStyle w:val="null3"/>
              <w:jc w:val="left"/>
            </w:pPr>
            <w:r>
              <w:rPr>
                <w:rFonts w:ascii="仿宋_GB2312" w:hAnsi="仿宋_GB2312" w:cs="仿宋_GB2312" w:eastAsia="仿宋_GB2312"/>
                <w:sz w:val="24"/>
                <w:color w:val="000000"/>
              </w:rPr>
              <w:t>4.耕深≥10cm</w:t>
            </w:r>
          </w:p>
          <w:p>
            <w:pPr>
              <w:pStyle w:val="null3"/>
              <w:jc w:val="left"/>
            </w:pPr>
            <w:r>
              <w:rPr>
                <w:rFonts w:ascii="仿宋_GB2312" w:hAnsi="仿宋_GB2312" w:cs="仿宋_GB2312" w:eastAsia="仿宋_GB2312"/>
                <w:sz w:val="24"/>
                <w:color w:val="000000"/>
              </w:rPr>
              <w:t>5.生产率≥0.01h㎡（h.m）</w:t>
            </w:r>
          </w:p>
          <w:p>
            <w:pPr>
              <w:pStyle w:val="null3"/>
              <w:jc w:val="left"/>
            </w:pPr>
            <w:r>
              <w:rPr>
                <w:rFonts w:ascii="仿宋_GB2312" w:hAnsi="仿宋_GB2312" w:cs="仿宋_GB2312" w:eastAsia="仿宋_GB2312"/>
                <w:sz w:val="24"/>
                <w:color w:val="000000"/>
              </w:rPr>
              <w:t>6.油耗：≤35kg/h㎡</w:t>
            </w:r>
          </w:p>
          <w:p>
            <w:pPr>
              <w:pStyle w:val="null3"/>
            </w:pPr>
            <w:r>
              <w:rPr>
                <w:rFonts w:ascii="仿宋_GB2312" w:hAnsi="仿宋_GB2312" w:cs="仿宋_GB2312" w:eastAsia="仿宋_GB2312"/>
                <w:sz w:val="24"/>
                <w:color w:val="000000"/>
              </w:rPr>
              <w:t>7.燃料类型：汽油</w:t>
            </w:r>
          </w:p>
          <w:p>
            <w:pPr>
              <w:pStyle w:val="null3"/>
            </w:pPr>
            <w:r>
              <w:rPr>
                <w:rFonts w:ascii="仿宋_GB2312" w:hAnsi="仿宋_GB2312" w:cs="仿宋_GB2312" w:eastAsia="仿宋_GB2312"/>
                <w:sz w:val="24"/>
                <w:color w:val="000000"/>
              </w:rPr>
              <w:t>8.（旋耕、除草）15台</w:t>
            </w:r>
          </w:p>
          <w:p>
            <w:pPr>
              <w:pStyle w:val="null3"/>
            </w:pPr>
            <w:r>
              <w:rPr>
                <w:rFonts w:ascii="仿宋_GB2312" w:hAnsi="仿宋_GB2312" w:cs="仿宋_GB2312" w:eastAsia="仿宋_GB2312"/>
                <w:sz w:val="24"/>
                <w:color w:val="000000"/>
              </w:rPr>
              <w:t>9.（旋耕、开沟）15台</w:t>
            </w:r>
          </w:p>
        </w:tc>
      </w:tr>
    </w:tbl>
    <w:p>
      <w:pPr>
        <w:pStyle w:val="null3"/>
      </w:pPr>
      <w:r>
        <w:rPr>
          <w:rFonts w:ascii="仿宋_GB2312" w:hAnsi="仿宋_GB2312" w:cs="仿宋_GB2312" w:eastAsia="仿宋_GB2312"/>
        </w:rPr>
        <w:t>标的名称：电动喷雾器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1.材质：PP塑料</w:t>
            </w:r>
          </w:p>
          <w:p>
            <w:pPr>
              <w:pStyle w:val="null3"/>
              <w:ind w:left="915"/>
              <w:jc w:val="left"/>
            </w:pPr>
            <w:r>
              <w:rPr>
                <w:rFonts w:ascii="仿宋_GB2312" w:hAnsi="仿宋_GB2312" w:cs="仿宋_GB2312" w:eastAsia="仿宋_GB2312"/>
                <w:sz w:val="24"/>
                <w:color w:val="000000"/>
              </w:rPr>
              <w:t>2.充电器：12V-1.2A智能型三段式充电器</w:t>
            </w:r>
          </w:p>
          <w:p>
            <w:pPr>
              <w:pStyle w:val="null3"/>
              <w:jc w:val="left"/>
            </w:pPr>
            <w:r>
              <w:rPr>
                <w:rFonts w:ascii="仿宋_GB2312" w:hAnsi="仿宋_GB2312" w:cs="仿宋_GB2312" w:eastAsia="仿宋_GB2312"/>
                <w:sz w:val="24"/>
                <w:color w:val="000000"/>
              </w:rPr>
              <w:t>3.产品重量：3-5kg</w:t>
            </w:r>
          </w:p>
          <w:p>
            <w:pPr>
              <w:pStyle w:val="null3"/>
              <w:jc w:val="left"/>
            </w:pPr>
            <w:r>
              <w:rPr>
                <w:rFonts w:ascii="仿宋_GB2312" w:hAnsi="仿宋_GB2312" w:cs="仿宋_GB2312" w:eastAsia="仿宋_GB2312"/>
                <w:sz w:val="24"/>
                <w:color w:val="000000"/>
              </w:rPr>
              <w:t>4.电池：12V免维护电池</w:t>
            </w:r>
          </w:p>
          <w:p>
            <w:pPr>
              <w:pStyle w:val="null3"/>
              <w:jc w:val="left"/>
            </w:pPr>
            <w:r>
              <w:rPr>
                <w:rFonts w:ascii="仿宋_GB2312" w:hAnsi="仿宋_GB2312" w:cs="仿宋_GB2312" w:eastAsia="仿宋_GB2312"/>
                <w:sz w:val="24"/>
                <w:color w:val="000000"/>
              </w:rPr>
              <w:t>5.产品尺寸：宽×</w:t>
            </w:r>
            <w:r>
              <w:rPr>
                <w:rFonts w:ascii="仿宋_GB2312" w:hAnsi="仿宋_GB2312" w:cs="仿宋_GB2312" w:eastAsia="仿宋_GB2312"/>
                <w:sz w:val="24"/>
                <w:color w:val="000000"/>
              </w:rPr>
              <w:t>高</w:t>
            </w:r>
            <w:r>
              <w:rPr>
                <w:rFonts w:ascii="仿宋_GB2312" w:hAnsi="仿宋_GB2312" w:cs="仿宋_GB2312" w:eastAsia="仿宋_GB2312"/>
                <w:sz w:val="24"/>
                <w:color w:val="000000"/>
              </w:rPr>
              <w:t>≥37cm×48cm</w:t>
            </w:r>
          </w:p>
          <w:p>
            <w:pPr>
              <w:pStyle w:val="null3"/>
            </w:pPr>
            <w:r>
              <w:rPr>
                <w:rFonts w:ascii="仿宋_GB2312" w:hAnsi="仿宋_GB2312" w:cs="仿宋_GB2312" w:eastAsia="仿宋_GB2312"/>
                <w:sz w:val="24"/>
                <w:color w:val="000000"/>
              </w:rPr>
              <w:t>6.产品容量：20L</w:t>
            </w:r>
          </w:p>
        </w:tc>
      </w:tr>
    </w:tbl>
    <w:p>
      <w:pPr>
        <w:pStyle w:val="null3"/>
      </w:pPr>
      <w:r>
        <w:rPr>
          <w:rFonts w:ascii="仿宋_GB2312" w:hAnsi="仿宋_GB2312" w:cs="仿宋_GB2312" w:eastAsia="仿宋_GB2312"/>
        </w:rPr>
        <w:t>标的名称：小型燃油抽水泵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1.进水/出水口径≥80mm</w:t>
            </w:r>
          </w:p>
          <w:p>
            <w:pPr>
              <w:pStyle w:val="null3"/>
            </w:pPr>
            <w:r>
              <w:rPr>
                <w:rFonts w:ascii="仿宋_GB2312" w:hAnsi="仿宋_GB2312" w:cs="仿宋_GB2312" w:eastAsia="仿宋_GB2312"/>
                <w:sz w:val="24"/>
                <w:color w:val="000000"/>
              </w:rPr>
              <w:t>2.转数≥3600r/min</w:t>
            </w:r>
          </w:p>
          <w:p>
            <w:pPr>
              <w:pStyle w:val="null3"/>
            </w:pPr>
            <w:r>
              <w:rPr>
                <w:rFonts w:ascii="仿宋_GB2312" w:hAnsi="仿宋_GB2312" w:cs="仿宋_GB2312" w:eastAsia="仿宋_GB2312"/>
                <w:sz w:val="24"/>
                <w:color w:val="000000"/>
              </w:rPr>
              <w:t>3.功率≥3kw</w:t>
            </w:r>
          </w:p>
          <w:p>
            <w:pPr>
              <w:pStyle w:val="null3"/>
            </w:pPr>
            <w:r>
              <w:rPr>
                <w:rFonts w:ascii="仿宋_GB2312" w:hAnsi="仿宋_GB2312" w:cs="仿宋_GB2312" w:eastAsia="仿宋_GB2312"/>
                <w:sz w:val="24"/>
                <w:color w:val="000000"/>
              </w:rPr>
              <w:t>4.发动机形式：四冲程，汽油发动机</w:t>
            </w:r>
          </w:p>
          <w:p>
            <w:pPr>
              <w:pStyle w:val="null3"/>
            </w:pPr>
            <w:r>
              <w:rPr>
                <w:rFonts w:ascii="仿宋_GB2312" w:hAnsi="仿宋_GB2312" w:cs="仿宋_GB2312" w:eastAsia="仿宋_GB2312"/>
                <w:sz w:val="24"/>
                <w:color w:val="000000"/>
              </w:rPr>
              <w:t>5.扬程≥15m</w:t>
            </w:r>
          </w:p>
          <w:p>
            <w:pPr>
              <w:pStyle w:val="null3"/>
            </w:pPr>
            <w:r>
              <w:rPr>
                <w:rFonts w:ascii="仿宋_GB2312" w:hAnsi="仿宋_GB2312" w:cs="仿宋_GB2312" w:eastAsia="仿宋_GB2312"/>
                <w:sz w:val="24"/>
                <w:color w:val="000000"/>
              </w:rPr>
              <w:t>6.吸程≥5米</w:t>
            </w:r>
          </w:p>
          <w:p>
            <w:pPr>
              <w:pStyle w:val="null3"/>
            </w:pPr>
            <w:r>
              <w:rPr>
                <w:rFonts w:ascii="仿宋_GB2312" w:hAnsi="仿宋_GB2312" w:cs="仿宋_GB2312" w:eastAsia="仿宋_GB2312"/>
                <w:sz w:val="24"/>
                <w:color w:val="000000"/>
              </w:rPr>
              <w:t>7.流量≥3</w:t>
            </w:r>
            <w:r>
              <w:rPr>
                <w:rFonts w:ascii="仿宋_GB2312" w:hAnsi="仿宋_GB2312" w:cs="仿宋_GB2312" w:eastAsia="仿宋_GB2312"/>
                <w:sz w:val="24"/>
                <w:color w:val="000000"/>
              </w:rPr>
              <w:t>5</w:t>
            </w:r>
            <w:r>
              <w:rPr>
                <w:rFonts w:ascii="仿宋_GB2312" w:hAnsi="仿宋_GB2312" w:cs="仿宋_GB2312" w:eastAsia="仿宋_GB2312"/>
                <w:sz w:val="24"/>
                <w:color w:val="000000"/>
              </w:rPr>
              <w:t>m³/h</w:t>
            </w:r>
          </w:p>
          <w:p>
            <w:pPr>
              <w:pStyle w:val="null3"/>
            </w:pPr>
            <w:r>
              <w:rPr>
                <w:rFonts w:ascii="仿宋_GB2312" w:hAnsi="仿宋_GB2312" w:cs="仿宋_GB2312" w:eastAsia="仿宋_GB2312"/>
                <w:sz w:val="24"/>
                <w:color w:val="000000"/>
              </w:rPr>
              <w:t>8.尺寸≥5</w:t>
            </w:r>
            <w:r>
              <w:rPr>
                <w:rFonts w:ascii="仿宋_GB2312" w:hAnsi="仿宋_GB2312" w:cs="仿宋_GB2312" w:eastAsia="仿宋_GB2312"/>
                <w:sz w:val="24"/>
                <w:color w:val="000000"/>
              </w:rPr>
              <w:t>1</w:t>
            </w:r>
            <w:r>
              <w:rPr>
                <w:rFonts w:ascii="仿宋_GB2312" w:hAnsi="仿宋_GB2312" w:cs="仿宋_GB2312" w:eastAsia="仿宋_GB2312"/>
                <w:sz w:val="24"/>
                <w:color w:val="000000"/>
              </w:rPr>
              <w:t>0mm*400mm*4</w:t>
            </w:r>
            <w:r>
              <w:rPr>
                <w:rFonts w:ascii="仿宋_GB2312" w:hAnsi="仿宋_GB2312" w:cs="仿宋_GB2312" w:eastAsia="仿宋_GB2312"/>
                <w:sz w:val="24"/>
                <w:color w:val="000000"/>
              </w:rPr>
              <w:t>3</w:t>
            </w:r>
            <w:r>
              <w:rPr>
                <w:rFonts w:ascii="仿宋_GB2312" w:hAnsi="仿宋_GB2312" w:cs="仿宋_GB2312" w:eastAsia="仿宋_GB2312"/>
                <w:sz w:val="24"/>
                <w:color w:val="000000"/>
              </w:rPr>
              <w:t>0mm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汉中市南郑区新集镇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第一批货物运抵采购人接收后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全部供货完成，通过采购人组织的验收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全部货物交付后由采购人组织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保修范围：采购清单范围内的所有整机。 保修期≥1年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根据项目需要，供应商应无偿为采购人培训2名植保无人机飞手，供应商应在响应文件中明确承诺免费培训无人机飞手事项，否则将视为供应商未响应谈判文件。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投标人名称是否与营业执照、公章一致</w:t>
            </w:r>
          </w:p>
        </w:tc>
        <w:tc>
          <w:tcPr>
            <w:tcW w:type="dxa" w:w="3322"/>
          </w:tcPr>
          <w:p>
            <w:pPr>
              <w:pStyle w:val="null3"/>
            </w:pPr>
            <w:r>
              <w:rPr>
                <w:rFonts w:ascii="仿宋_GB2312" w:hAnsi="仿宋_GB2312" w:cs="仿宋_GB2312" w:eastAsia="仿宋_GB2312"/>
              </w:rPr>
              <w:t>投标人名称应与营业执照、公章一致</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响应文件是否按竞争性谈判文件要 求签署、盖章</w:t>
            </w:r>
          </w:p>
        </w:tc>
        <w:tc>
          <w:tcPr>
            <w:tcW w:type="dxa" w:w="3322"/>
          </w:tcPr>
          <w:p>
            <w:pPr>
              <w:pStyle w:val="null3"/>
            </w:pPr>
            <w:r>
              <w:rPr>
                <w:rFonts w:ascii="仿宋_GB2312" w:hAnsi="仿宋_GB2312" w:cs="仿宋_GB2312" w:eastAsia="仿宋_GB2312"/>
              </w:rPr>
              <w:t>响应文件应当按竞争性谈判文件要求签署、盖 章</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项目编制的项目实施方案</w:t>
            </w:r>
          </w:p>
        </w:tc>
        <w:tc>
          <w:tcPr>
            <w:tcW w:type="dxa" w:w="3322"/>
          </w:tcPr>
          <w:p>
            <w:pPr>
              <w:pStyle w:val="null3"/>
            </w:pPr>
            <w:r>
              <w:rPr>
                <w:rFonts w:ascii="仿宋_GB2312" w:hAnsi="仿宋_GB2312" w:cs="仿宋_GB2312" w:eastAsia="仿宋_GB2312"/>
              </w:rPr>
              <w:t>供应商应针对项目采购内容、技术要求、供货周期等方面要求编制详尽的、贴合项目实际的实施方案，至少应包括供货方案、质量保证措施、人员培训方案、售后服务方案等方面以满足采购项目需求。谈判小组认为供应商的方案简单，与项目实际需求不符，无法满足采购项目需求的，可将其响应文件作为无效处理。</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核心产品技术参数不允许负偏离，供应商应在响应文件提供能够证明核心产品技术参数的证明材料（证明材料包含但不限于产品彩页、铭牌、产品说明书、产品检测报告等形式），有一项负偏离或无证明材料，视该供应商为无效响应。</w:t>
            </w:r>
          </w:p>
        </w:tc>
        <w:tc>
          <w:tcPr>
            <w:tcW w:type="dxa" w:w="1661"/>
          </w:tcPr>
          <w:p>
            <w:pPr>
              <w:pStyle w:val="null3"/>
            </w:pPr>
            <w:r>
              <w:rPr>
                <w:rFonts w:ascii="仿宋_GB2312" w:hAnsi="仿宋_GB2312" w:cs="仿宋_GB2312" w:eastAsia="仿宋_GB2312"/>
              </w:rPr>
              <w:t>产品技术参数表 其他资料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响应文件不存在法律、法规和竞争性谈判文件 规定的其他无效情形</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项目实施方案 响应函 汉中市政府采购供应商资格承诺函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