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866AA">
      <w:pPr>
        <w:spacing w:line="560" w:lineRule="exact"/>
        <w:rPr>
          <w:rFonts w:hint="eastAsia" w:ascii="仿宋" w:hAnsi="仿宋" w:eastAsia="仿宋" w:cs="仿宋"/>
          <w:b/>
          <w:sz w:val="36"/>
          <w:szCs w:val="36"/>
          <w:highlight w:val="none"/>
          <w:lang w:eastAsia="zh-CN"/>
        </w:rPr>
      </w:pPr>
      <w:r>
        <w:rPr>
          <w:rFonts w:hint="eastAsia" w:ascii="仿宋" w:hAnsi="仿宋" w:eastAsia="仿宋" w:cs="仿宋"/>
          <w:b/>
          <w:sz w:val="36"/>
          <w:szCs w:val="36"/>
          <w:highlight w:val="none"/>
          <w:lang w:eastAsia="zh-CN"/>
        </w:rPr>
        <w:t>项目编号：</w:t>
      </w:r>
    </w:p>
    <w:p w14:paraId="1A3B027E">
      <w:pPr>
        <w:spacing w:after="156" w:afterLines="50" w:line="360" w:lineRule="auto"/>
        <w:jc w:val="center"/>
        <w:rPr>
          <w:rFonts w:hint="eastAsia" w:ascii="仿宋" w:hAnsi="仿宋" w:eastAsia="仿宋" w:cs="仿宋"/>
          <w:b/>
          <w:sz w:val="32"/>
          <w:szCs w:val="32"/>
          <w:highlight w:val="none"/>
        </w:rPr>
      </w:pPr>
    </w:p>
    <w:p w14:paraId="32F91A01">
      <w:pPr>
        <w:spacing w:after="156" w:afterLines="50" w:line="360" w:lineRule="auto"/>
        <w:jc w:val="center"/>
        <w:rPr>
          <w:rFonts w:hint="eastAsia" w:ascii="仿宋" w:hAnsi="仿宋" w:eastAsia="仿宋" w:cs="仿宋"/>
          <w:b/>
          <w:sz w:val="32"/>
          <w:szCs w:val="32"/>
          <w:highlight w:val="none"/>
        </w:rPr>
      </w:pPr>
    </w:p>
    <w:p w14:paraId="1C9B9719">
      <w:pPr>
        <w:spacing w:after="156" w:afterLines="50" w:line="360" w:lineRule="auto"/>
        <w:jc w:val="center"/>
        <w:rPr>
          <w:rFonts w:hint="eastAsia" w:ascii="仿宋" w:hAnsi="仿宋" w:eastAsia="仿宋" w:cs="仿宋"/>
          <w:b/>
          <w:sz w:val="32"/>
          <w:szCs w:val="32"/>
          <w:highlight w:val="none"/>
        </w:rPr>
      </w:pPr>
    </w:p>
    <w:p w14:paraId="7B82584C">
      <w:pPr>
        <w:spacing w:after="156" w:afterLines="50" w:line="360" w:lineRule="auto"/>
        <w:jc w:val="center"/>
        <w:rPr>
          <w:rFonts w:hint="default" w:ascii="仿宋" w:hAnsi="仿宋" w:eastAsia="仿宋" w:cs="仿宋"/>
          <w:b/>
          <w:sz w:val="32"/>
          <w:szCs w:val="32"/>
          <w:highlight w:val="none"/>
          <w:lang w:val="en-US" w:eastAsia="zh-CN"/>
        </w:rPr>
      </w:pPr>
      <w:r>
        <w:rPr>
          <w:rFonts w:hint="eastAsia" w:ascii="仿宋" w:hAnsi="仿宋" w:eastAsia="仿宋" w:cs="仿宋"/>
          <w:b/>
          <w:sz w:val="32"/>
          <w:szCs w:val="32"/>
          <w:highlight w:val="none"/>
          <w:lang w:val="en-US" w:eastAsia="zh-CN"/>
        </w:rPr>
        <w:t>（项目名称）</w:t>
      </w:r>
    </w:p>
    <w:p w14:paraId="688279CB">
      <w:pPr>
        <w:spacing w:after="156" w:afterLines="50" w:line="360" w:lineRule="auto"/>
        <w:jc w:val="center"/>
        <w:rPr>
          <w:rFonts w:hint="eastAsia" w:ascii="仿宋" w:hAnsi="仿宋" w:eastAsia="仿宋" w:cs="仿宋"/>
          <w:b/>
          <w:sz w:val="32"/>
          <w:szCs w:val="32"/>
          <w:highlight w:val="none"/>
        </w:rPr>
      </w:pPr>
    </w:p>
    <w:p w14:paraId="3EA4DE17">
      <w:pPr>
        <w:spacing w:after="156" w:afterLines="50" w:line="360" w:lineRule="auto"/>
        <w:jc w:val="center"/>
        <w:rPr>
          <w:rFonts w:hint="eastAsia" w:ascii="仿宋" w:hAnsi="仿宋" w:eastAsia="仿宋" w:cs="仿宋"/>
          <w:b/>
          <w:sz w:val="32"/>
          <w:szCs w:val="32"/>
          <w:highlight w:val="none"/>
        </w:rPr>
      </w:pPr>
    </w:p>
    <w:p w14:paraId="4FF4FA9F">
      <w:pPr>
        <w:spacing w:after="156" w:afterLines="50" w:line="360" w:lineRule="auto"/>
        <w:jc w:val="center"/>
        <w:rPr>
          <w:rFonts w:hint="eastAsia" w:ascii="仿宋" w:hAnsi="仿宋" w:eastAsia="仿宋" w:cs="仿宋"/>
          <w:b/>
          <w:sz w:val="32"/>
          <w:szCs w:val="32"/>
          <w:highlight w:val="none"/>
        </w:rPr>
      </w:pPr>
    </w:p>
    <w:p w14:paraId="3106F674">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44"/>
          <w:szCs w:val="48"/>
          <w:highlight w:val="none"/>
        </w:rPr>
      </w:pPr>
    </w:p>
    <w:p w14:paraId="23A0F9A1">
      <w:pPr>
        <w:pStyle w:val="4"/>
        <w:pageBreakBefore w:val="0"/>
        <w:widowControl w:val="0"/>
        <w:kinsoku/>
        <w:wordWrap/>
        <w:overflowPunct/>
        <w:topLinePunct w:val="0"/>
        <w:autoSpaceDE/>
        <w:autoSpaceDN/>
        <w:bidi w:val="0"/>
        <w:adjustRightInd/>
        <w:snapToGrid/>
        <w:spacing w:line="360" w:lineRule="auto"/>
        <w:ind w:left="0" w:leftChars="0" w:firstLine="643" w:firstLineChars="200"/>
        <w:jc w:val="left"/>
        <w:textAlignment w:val="auto"/>
        <w:rPr>
          <w:rFonts w:hint="default" w:ascii="仿宋" w:hAnsi="仿宋" w:eastAsia="仿宋" w:cs="仿宋"/>
          <w:b/>
          <w:bCs/>
          <w:sz w:val="32"/>
          <w:szCs w:val="40"/>
          <w:highlight w:val="none"/>
          <w:lang w:val="en-US" w:eastAsia="zh-CN"/>
        </w:rPr>
      </w:pPr>
      <w:r>
        <w:rPr>
          <w:rFonts w:hint="eastAsia" w:ascii="仿宋" w:hAnsi="仿宋" w:eastAsia="仿宋" w:cs="仿宋"/>
          <w:b/>
          <w:bCs/>
          <w:sz w:val="32"/>
          <w:szCs w:val="40"/>
          <w:highlight w:val="none"/>
          <w:lang w:eastAsia="zh-CN"/>
        </w:rPr>
        <w:t>甲方：</w:t>
      </w:r>
      <w:r>
        <w:rPr>
          <w:rFonts w:hint="eastAsia" w:ascii="仿宋" w:hAnsi="仿宋" w:eastAsia="仿宋" w:cs="仿宋"/>
          <w:b/>
          <w:bCs/>
          <w:sz w:val="32"/>
          <w:szCs w:val="40"/>
          <w:highlight w:val="none"/>
          <w:u w:val="single"/>
          <w:lang w:val="en-US" w:eastAsia="zh-CN"/>
        </w:rPr>
        <w:t xml:space="preserve">                         </w:t>
      </w:r>
    </w:p>
    <w:p w14:paraId="5BC10FDE">
      <w:pPr>
        <w:pStyle w:val="4"/>
        <w:pageBreakBefore w:val="0"/>
        <w:widowControl w:val="0"/>
        <w:kinsoku/>
        <w:wordWrap/>
        <w:overflowPunct/>
        <w:topLinePunct w:val="0"/>
        <w:autoSpaceDE/>
        <w:autoSpaceDN/>
        <w:bidi w:val="0"/>
        <w:adjustRightInd/>
        <w:snapToGrid/>
        <w:spacing w:line="360" w:lineRule="auto"/>
        <w:textAlignment w:val="auto"/>
        <w:rPr>
          <w:rFonts w:hint="default"/>
          <w:b/>
          <w:bCs/>
          <w:highlight w:val="none"/>
          <w:u w:val="single"/>
          <w:lang w:val="en-US" w:eastAsia="zh-CN"/>
        </w:rPr>
      </w:pPr>
      <w:r>
        <w:rPr>
          <w:rFonts w:hint="eastAsia" w:ascii="仿宋" w:hAnsi="仿宋" w:eastAsia="仿宋" w:cs="仿宋"/>
          <w:b/>
          <w:bCs/>
          <w:sz w:val="32"/>
          <w:szCs w:val="40"/>
          <w:highlight w:val="none"/>
          <w:lang w:val="en-US" w:eastAsia="zh-CN"/>
        </w:rPr>
        <w:t>乙方：</w:t>
      </w:r>
      <w:r>
        <w:rPr>
          <w:rFonts w:hint="eastAsia" w:ascii="仿宋" w:hAnsi="仿宋" w:eastAsia="仿宋" w:cs="仿宋"/>
          <w:b/>
          <w:bCs/>
          <w:sz w:val="32"/>
          <w:szCs w:val="40"/>
          <w:highlight w:val="none"/>
          <w:u w:val="single"/>
          <w:lang w:val="en-US" w:eastAsia="zh-CN"/>
        </w:rPr>
        <w:t xml:space="preserve">                         </w:t>
      </w:r>
    </w:p>
    <w:p w14:paraId="78E98653">
      <w:pPr>
        <w:pStyle w:val="4"/>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40"/>
          <w:highlight w:val="none"/>
          <w:u w:val="single"/>
          <w:lang w:val="en-US" w:eastAsia="zh-CN"/>
        </w:rPr>
      </w:pPr>
      <w:r>
        <w:rPr>
          <w:rFonts w:hint="eastAsia" w:ascii="仿宋" w:hAnsi="仿宋" w:eastAsia="仿宋" w:cs="仿宋"/>
          <w:b/>
          <w:bCs/>
          <w:sz w:val="32"/>
          <w:szCs w:val="40"/>
          <w:highlight w:val="none"/>
          <w:lang w:val="en-US" w:eastAsia="zh-CN"/>
        </w:rPr>
        <w:t>日期：</w:t>
      </w:r>
      <w:r>
        <w:rPr>
          <w:rFonts w:hint="eastAsia" w:ascii="仿宋" w:hAnsi="仿宋" w:eastAsia="仿宋" w:cs="仿宋"/>
          <w:b/>
          <w:bCs/>
          <w:sz w:val="32"/>
          <w:szCs w:val="40"/>
          <w:highlight w:val="none"/>
          <w:u w:val="single"/>
          <w:lang w:val="en-US" w:eastAsia="zh-CN"/>
        </w:rPr>
        <w:t xml:space="preserve">                         </w:t>
      </w:r>
    </w:p>
    <w:p w14:paraId="158E362D">
      <w:pPr>
        <w:pStyle w:val="4"/>
        <w:rPr>
          <w:rFonts w:hint="eastAsia"/>
          <w:highlight w:val="none"/>
        </w:rPr>
      </w:pPr>
    </w:p>
    <w:p w14:paraId="56F2C8C3">
      <w:pPr>
        <w:pStyle w:val="4"/>
        <w:ind w:left="0" w:leftChars="0" w:firstLine="0" w:firstLineChars="0"/>
        <w:rPr>
          <w:rFonts w:hint="eastAsia"/>
          <w:highlight w:val="none"/>
        </w:rPr>
      </w:pPr>
    </w:p>
    <w:p w14:paraId="2AB16F7C">
      <w:pPr>
        <w:pStyle w:val="4"/>
        <w:ind w:left="0" w:leftChars="0" w:firstLine="0" w:firstLineChars="0"/>
        <w:rPr>
          <w:rFonts w:hint="eastAsia"/>
          <w:highlight w:val="none"/>
        </w:rPr>
      </w:pPr>
    </w:p>
    <w:p w14:paraId="50635066">
      <w:pPr>
        <w:pStyle w:val="4"/>
        <w:ind w:left="0" w:leftChars="0" w:firstLine="0" w:firstLineChars="0"/>
        <w:rPr>
          <w:rFonts w:hint="eastAsia"/>
          <w:highlight w:val="none"/>
        </w:rPr>
      </w:pPr>
    </w:p>
    <w:p w14:paraId="022ACD2E">
      <w:pPr>
        <w:pStyle w:val="4"/>
        <w:ind w:left="0" w:leftChars="0" w:firstLine="0" w:firstLineChars="0"/>
        <w:rPr>
          <w:rFonts w:hint="eastAsia"/>
          <w:highlight w:val="none"/>
        </w:rPr>
      </w:pPr>
    </w:p>
    <w:p w14:paraId="274EBE43">
      <w:pPr>
        <w:pStyle w:val="4"/>
        <w:ind w:left="0" w:leftChars="0" w:firstLine="0" w:firstLineChars="0"/>
        <w:rPr>
          <w:rFonts w:hint="eastAsia"/>
          <w:highlight w:val="none"/>
        </w:rPr>
      </w:pPr>
    </w:p>
    <w:p w14:paraId="0C851356">
      <w:pPr>
        <w:pStyle w:val="4"/>
        <w:ind w:left="0" w:leftChars="0" w:firstLine="0" w:firstLineChars="0"/>
        <w:rPr>
          <w:rFonts w:hint="eastAsia"/>
          <w:highlight w:val="none"/>
        </w:rPr>
      </w:pPr>
    </w:p>
    <w:p w14:paraId="10B4D339">
      <w:pPr>
        <w:spacing w:line="560" w:lineRule="exact"/>
        <w:jc w:val="center"/>
        <w:rPr>
          <w:rFonts w:hint="eastAsia"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07E203F7">
      <w:pPr>
        <w:rPr>
          <w:rFonts w:hint="eastAsia"/>
          <w:highlight w:val="none"/>
        </w:rPr>
      </w:pPr>
      <w:r>
        <w:rPr>
          <w:rFonts w:hint="eastAsia"/>
          <w:highlight w:val="none"/>
        </w:rPr>
        <w:br w:type="page"/>
      </w:r>
    </w:p>
    <w:p w14:paraId="5E3CB9E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甲方：</w:t>
      </w:r>
      <w:r>
        <w:rPr>
          <w:rFonts w:hint="eastAsia" w:ascii="宋体" w:hAnsi="宋体" w:eastAsia="宋体" w:cs="宋体"/>
          <w:bCs/>
          <w:sz w:val="24"/>
          <w:szCs w:val="24"/>
          <w:highlight w:val="none"/>
          <w:u w:val="single"/>
          <w:lang w:val="en-US" w:eastAsia="zh-CN"/>
        </w:rPr>
        <w:t xml:space="preserve">                               </w:t>
      </w:r>
    </w:p>
    <w:p w14:paraId="4BFAF52B">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 xml:space="preserve"> </w:t>
      </w:r>
    </w:p>
    <w:p w14:paraId="2EC5EC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依据《中华人民共和国</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》和《中华人民共和国政府采购法》，和其他相关法律法规，遵循平等、自愿、公平和诚实信用的原则，经双方协商按下述条款和条件签署本合同。</w:t>
      </w:r>
    </w:p>
    <w:p w14:paraId="129C095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一、采购清单</w:t>
      </w: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附件《货物清单》</w:t>
      </w:r>
      <w:r>
        <w:rPr>
          <w:rFonts w:hint="eastAsia" w:ascii="宋体" w:hAnsi="宋体" w:eastAsia="宋体" w:cs="宋体"/>
          <w:b/>
          <w:bCs w:val="0"/>
          <w:sz w:val="24"/>
          <w:szCs w:val="24"/>
          <w:highlight w:val="none"/>
          <w:lang w:eastAsia="zh-CN"/>
        </w:rPr>
        <w:t>）</w:t>
      </w:r>
    </w:p>
    <w:p w14:paraId="6989E87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二、合同价款</w:t>
      </w:r>
    </w:p>
    <w:p w14:paraId="643628D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（一）合同总价款为</w:t>
      </w:r>
      <w:r>
        <w:rPr>
          <w:rFonts w:hint="eastAsia" w:ascii="宋体" w:hAnsi="宋体" w:eastAsia="宋体" w:cs="宋体"/>
          <w:b/>
          <w:bCs/>
          <w:sz w:val="24"/>
          <w:szCs w:val="24"/>
          <w:highlight w:val="none"/>
          <w:lang w:val="zh-CN"/>
        </w:rPr>
        <w:t>人民币（大写）</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zh-CN"/>
        </w:rPr>
        <w:t>（</w:t>
      </w:r>
      <w:r>
        <w:rPr>
          <w:rFonts w:hint="eastAsia" w:ascii="宋体" w:hAnsi="宋体" w:eastAsia="宋体" w:cs="宋体"/>
          <w:b/>
          <w:bCs/>
          <w:sz w:val="24"/>
          <w:szCs w:val="24"/>
          <w:highlight w:val="none"/>
          <w:u w:val="single"/>
          <w:lang w:val="zh-CN" w:eastAsia="zh-CN"/>
        </w:rPr>
        <w:t>￥</w:t>
      </w:r>
      <w:r>
        <w:rPr>
          <w:rFonts w:hint="eastAsia" w:ascii="宋体" w:hAnsi="宋体" w:eastAsia="宋体" w:cs="宋体"/>
          <w:b/>
          <w:bCs/>
          <w:sz w:val="24"/>
          <w:szCs w:val="24"/>
          <w:highlight w:val="none"/>
          <w:u w:val="single"/>
          <w:lang w:val="en-US" w:eastAsia="zh-CN"/>
        </w:rPr>
        <w:t xml:space="preserve">          元</w:t>
      </w:r>
      <w:r>
        <w:rPr>
          <w:rFonts w:hint="eastAsia" w:ascii="宋体" w:hAnsi="宋体" w:eastAsia="宋体" w:cs="宋体"/>
          <w:b/>
          <w:bCs/>
          <w:sz w:val="24"/>
          <w:szCs w:val="24"/>
          <w:highlight w:val="none"/>
          <w:lang w:val="zh-CN"/>
        </w:rPr>
        <w:t xml:space="preserve"> ）。</w:t>
      </w:r>
    </w:p>
    <w:p w14:paraId="4EE5C4CE">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lang w:val="zh-CN"/>
        </w:rPr>
        <w:t>（二）合同总价包括：</w:t>
      </w:r>
      <w:r>
        <w:rPr>
          <w:rFonts w:hint="eastAsia" w:ascii="宋体" w:hAnsi="宋体" w:eastAsia="宋体" w:cs="宋体"/>
          <w:b/>
          <w:bCs/>
          <w:sz w:val="24"/>
          <w:szCs w:val="24"/>
          <w:highlight w:val="none"/>
          <w:lang w:val="zh-CN"/>
        </w:rPr>
        <w:t>产品供应费、运输费（含保险费）、安装调试费及其它费用。</w:t>
      </w:r>
    </w:p>
    <w:p w14:paraId="31A7651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（三）合同总价一次性包死，不受市场价格变化因素的影响。</w:t>
      </w:r>
    </w:p>
    <w:p w14:paraId="77E561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）支付方式：银行转账</w:t>
      </w:r>
    </w:p>
    <w:p w14:paraId="7D5704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）结算</w:t>
      </w:r>
      <w:r>
        <w:rPr>
          <w:rFonts w:hint="eastAsia" w:ascii="宋体" w:hAnsi="宋体" w:eastAsia="宋体" w:cs="宋体"/>
          <w:sz w:val="24"/>
          <w:szCs w:val="24"/>
          <w:highlight w:val="none"/>
          <w:lang w:val="en-US" w:eastAsia="zh-CN"/>
        </w:rPr>
        <w:t>账户信息</w:t>
      </w:r>
      <w:r>
        <w:rPr>
          <w:rFonts w:hint="eastAsia" w:ascii="宋体" w:hAnsi="宋体" w:eastAsia="宋体" w:cs="宋体"/>
          <w:sz w:val="24"/>
          <w:szCs w:val="24"/>
          <w:highlight w:val="none"/>
        </w:rPr>
        <w:t>：</w:t>
      </w:r>
    </w:p>
    <w:p w14:paraId="505617D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1.开户名称：</w:t>
      </w:r>
    </w:p>
    <w:p w14:paraId="7AE923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2.银行账号</w:t>
      </w:r>
      <w:r>
        <w:rPr>
          <w:rFonts w:hint="eastAsia" w:ascii="宋体" w:hAnsi="宋体" w:eastAsia="宋体" w:cs="宋体"/>
          <w:kern w:val="2"/>
          <w:sz w:val="24"/>
          <w:szCs w:val="24"/>
          <w:highlight w:val="none"/>
          <w:lang w:val="en-US" w:eastAsia="zh-CN" w:bidi="ar-SA"/>
        </w:rPr>
        <w:t>：</w:t>
      </w:r>
    </w:p>
    <w:p w14:paraId="225C0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3.开户行名称</w:t>
      </w:r>
      <w:r>
        <w:rPr>
          <w:rFonts w:hint="eastAsia" w:ascii="宋体" w:hAnsi="宋体" w:eastAsia="宋体" w:cs="宋体"/>
          <w:kern w:val="2"/>
          <w:sz w:val="24"/>
          <w:szCs w:val="24"/>
          <w:highlight w:val="none"/>
          <w:lang w:val="en-US" w:eastAsia="zh-CN" w:bidi="ar-SA"/>
        </w:rPr>
        <w:t>：</w:t>
      </w:r>
    </w:p>
    <w:p w14:paraId="2CF79627">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rPr>
        <w:t>三、</w:t>
      </w:r>
      <w:bookmarkStart w:id="0" w:name="_Toc330232507"/>
      <w:bookmarkStart w:id="1" w:name="_Toc330234222"/>
      <w:bookmarkStart w:id="2" w:name="_Toc330232661"/>
      <w:r>
        <w:rPr>
          <w:rFonts w:hint="eastAsia" w:ascii="宋体" w:hAnsi="宋体" w:eastAsia="宋体" w:cs="宋体"/>
          <w:b/>
          <w:bCs w:val="0"/>
          <w:sz w:val="24"/>
          <w:szCs w:val="24"/>
          <w:highlight w:val="none"/>
          <w:lang w:val="en-US" w:eastAsia="zh-CN"/>
        </w:rPr>
        <w:t>结算方式</w:t>
      </w:r>
    </w:p>
    <w:bookmarkEnd w:id="0"/>
    <w:bookmarkEnd w:id="1"/>
    <w:bookmarkEnd w:id="2"/>
    <w:p w14:paraId="1DCD012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cs="宋体"/>
          <w:sz w:val="24"/>
          <w:szCs w:val="24"/>
          <w:highlight w:val="none"/>
          <w:u w:val="single"/>
          <w:lang w:val="en-US" w:eastAsia="zh-CN"/>
        </w:rPr>
        <w:t xml:space="preserve">1. 结算方式：                                                            </w:t>
      </w:r>
    </w:p>
    <w:p w14:paraId="34B5A21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需向甲方开具相应的</w:t>
      </w:r>
      <w:r>
        <w:rPr>
          <w:rFonts w:hint="eastAsia" w:ascii="宋体" w:hAnsi="宋体" w:eastAsia="宋体" w:cs="宋体"/>
          <w:sz w:val="24"/>
          <w:szCs w:val="24"/>
          <w:highlight w:val="none"/>
        </w:rPr>
        <w:t>全额正规增值税发票，甲方见发票后付款。</w:t>
      </w:r>
    </w:p>
    <w:p w14:paraId="0191D768">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四、双方的权利和义务</w:t>
      </w:r>
    </w:p>
    <w:p w14:paraId="01C206D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（一）甲方的权利与义务</w:t>
      </w:r>
    </w:p>
    <w:p w14:paraId="2D26B0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1.甲方有权要求乙方供货的项目内容、参数等符合招标文件要求及国家相关标准，并通过甲方验收。</w:t>
      </w:r>
    </w:p>
    <w:p w14:paraId="54554ED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2.甲方有权要求乙方按本合同交货期要求完成相关供货、安装、调试及其他相关服务。</w:t>
      </w:r>
    </w:p>
    <w:p w14:paraId="4D2521F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3.甲方有权要求乙方配合甲方完成所采购项目内容的验收工作。</w:t>
      </w:r>
    </w:p>
    <w:p w14:paraId="125B5AF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4.甲方有权要求乙方提供的产品所涉及的第三方权利进行免责。</w:t>
      </w:r>
    </w:p>
    <w:p w14:paraId="4D8E62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5.甲方有义务保证按合同所规定的内容及时间支付乙方相关费用。</w:t>
      </w:r>
    </w:p>
    <w:p w14:paraId="61335F1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6.在乙方进场供货之前，甲方负责保证现场具备乙方供货、安装、调试等所需的基本条件，并向乙方进行现场情况交底，双方对现场情况进行书面确认。</w:t>
      </w:r>
    </w:p>
    <w:p w14:paraId="77095B7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7.甲方需要积极配合乙方的供货、安装调试等作业，为乙方提供现场安装、调试等所需的设备存放场地。</w:t>
      </w:r>
    </w:p>
    <w:p w14:paraId="1D13967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8.甲方在合同的履行期间以及履行期后，可以随时检查项目的执行情况，对采购标准、采购内容进行调查核实，并对发现的问题进行处理。</w:t>
      </w:r>
    </w:p>
    <w:p w14:paraId="3EEA035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（二）乙方的权利与义务</w:t>
      </w:r>
    </w:p>
    <w:p w14:paraId="1F8B5D9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1.乙方应按甲方的规定和要求完成交货、安装、调试、培训及其他必要的服务等；并保证产品完全符合招标文件要求。</w:t>
      </w:r>
    </w:p>
    <w:p w14:paraId="24D51B04">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kern w:val="28"/>
          <w:sz w:val="24"/>
          <w:szCs w:val="24"/>
          <w:highlight w:val="none"/>
        </w:rPr>
        <w:t>2.</w:t>
      </w:r>
      <w:r>
        <w:rPr>
          <w:rFonts w:hint="eastAsia" w:ascii="宋体" w:hAnsi="宋体" w:eastAsia="宋体" w:cs="宋体"/>
          <w:bCs/>
          <w:sz w:val="24"/>
          <w:szCs w:val="24"/>
          <w:highlight w:val="none"/>
        </w:rPr>
        <w:t>乙方所提供的产品必须是采购需求产品，运输过程中的安全由乙方负责。</w:t>
      </w:r>
    </w:p>
    <w:p w14:paraId="29E510FE">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28"/>
          <w:sz w:val="24"/>
          <w:szCs w:val="24"/>
          <w:highlight w:val="none"/>
        </w:rPr>
        <w:t>3.乙方有权要求甲方提供必要的安装调试等条件</w:t>
      </w:r>
      <w:r>
        <w:rPr>
          <w:rFonts w:hint="eastAsia" w:ascii="宋体" w:hAnsi="宋体" w:eastAsia="宋体" w:cs="宋体"/>
          <w:sz w:val="24"/>
          <w:szCs w:val="24"/>
          <w:highlight w:val="none"/>
        </w:rPr>
        <w:t>。</w:t>
      </w:r>
    </w:p>
    <w:p w14:paraId="01E1E03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4.乙方有义务配合甲方参与项目的验收工作，并确保所提供项目内容符合本项目质量标准。</w:t>
      </w:r>
    </w:p>
    <w:p w14:paraId="08F8AF6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5.做好供货、安装调试现场安全管理；协助甲方做好供货施工现场的安全保卫、防火防盗工作，确保施工顺利进行；接受甲方现场管理人员的监督和检查，保证施工质量和安全文明施工。</w:t>
      </w:r>
    </w:p>
    <w:p w14:paraId="420F9DB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w:t>
      </w:r>
      <w:r>
        <w:rPr>
          <w:rFonts w:hint="eastAsia" w:ascii="宋体" w:hAnsi="宋体" w:eastAsia="宋体" w:cs="宋体"/>
          <w:bCs/>
          <w:sz w:val="24"/>
          <w:szCs w:val="24"/>
          <w:highlight w:val="none"/>
          <w:lang w:val="en-US" w:eastAsia="zh-CN"/>
        </w:rPr>
        <w:t>乙方应</w:t>
      </w:r>
      <w:r>
        <w:rPr>
          <w:rFonts w:hint="eastAsia" w:ascii="宋体" w:hAnsi="宋体" w:eastAsia="宋体" w:cs="宋体"/>
          <w:bCs/>
          <w:sz w:val="24"/>
          <w:szCs w:val="24"/>
          <w:highlight w:val="none"/>
        </w:rPr>
        <w:t>培训甲方或甲方指定的管理人员，正确使用</w:t>
      </w:r>
      <w:r>
        <w:rPr>
          <w:rFonts w:hint="eastAsia" w:ascii="宋体" w:hAnsi="宋体" w:eastAsia="宋体" w:cs="宋体"/>
          <w:bCs/>
          <w:sz w:val="24"/>
          <w:szCs w:val="24"/>
          <w:highlight w:val="none"/>
          <w:lang w:val="en-US" w:eastAsia="zh-CN"/>
        </w:rPr>
        <w:t>所安装的设备</w:t>
      </w:r>
      <w:r>
        <w:rPr>
          <w:rFonts w:hint="eastAsia" w:ascii="宋体" w:hAnsi="宋体" w:eastAsia="宋体" w:cs="宋体"/>
          <w:bCs/>
          <w:sz w:val="24"/>
          <w:szCs w:val="24"/>
          <w:highlight w:val="none"/>
        </w:rPr>
        <w:t>。</w:t>
      </w:r>
    </w:p>
    <w:p w14:paraId="0626E34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五、交货与安装调试</w:t>
      </w:r>
    </w:p>
    <w:p w14:paraId="5EBA439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default" w:ascii="宋体" w:hAnsi="宋体" w:eastAsia="宋体" w:cs="宋体"/>
          <w:sz w:val="24"/>
          <w:szCs w:val="24"/>
          <w:highlight w:val="none"/>
          <w:lang w:val="en-US" w:eastAsia="zh-CN"/>
        </w:rPr>
      </w:pPr>
      <w:r>
        <w:rPr>
          <w:rFonts w:hint="eastAsia" w:ascii="宋体" w:hAnsi="宋体" w:eastAsia="宋体" w:cs="宋体"/>
          <w:bCs/>
          <w:sz w:val="24"/>
          <w:szCs w:val="24"/>
          <w:highlight w:val="none"/>
        </w:rPr>
        <w:t>（一）交货地点：</w:t>
      </w:r>
      <w:r>
        <w:rPr>
          <w:rFonts w:hint="eastAsia" w:ascii="宋体" w:hAnsi="宋体" w:cs="宋体"/>
          <w:bCs/>
          <w:sz w:val="24"/>
          <w:szCs w:val="24"/>
          <w:highlight w:val="none"/>
          <w:u w:val="single"/>
          <w:lang w:val="en-US" w:eastAsia="zh-CN"/>
        </w:rPr>
        <w:t xml:space="preserve">                   </w:t>
      </w:r>
    </w:p>
    <w:p w14:paraId="71622CA4">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lang w:eastAsia="zh-CN"/>
        </w:rPr>
      </w:pPr>
      <w:r>
        <w:rPr>
          <w:rFonts w:hint="eastAsia" w:ascii="宋体" w:hAnsi="宋体" w:eastAsia="宋体" w:cs="宋体"/>
          <w:bCs/>
          <w:sz w:val="24"/>
          <w:szCs w:val="24"/>
          <w:highlight w:val="none"/>
        </w:rPr>
        <w:t>（二）交货期：</w:t>
      </w:r>
      <w:r>
        <w:rPr>
          <w:rFonts w:hint="eastAsia" w:ascii="宋体" w:hAnsi="宋体" w:eastAsia="宋体" w:cs="宋体"/>
          <w:sz w:val="24"/>
          <w:szCs w:val="24"/>
          <w:highlight w:val="none"/>
        </w:rPr>
        <w:t>自</w:t>
      </w:r>
      <w:r>
        <w:rPr>
          <w:rFonts w:hint="eastAsia" w:ascii="宋体" w:hAnsi="宋体" w:eastAsia="宋体" w:cs="宋体"/>
          <w:sz w:val="24"/>
          <w:szCs w:val="24"/>
          <w:highlight w:val="none"/>
          <w:lang w:val="en-US" w:eastAsia="zh-CN"/>
        </w:rPr>
        <w:t>本</w:t>
      </w:r>
      <w:r>
        <w:rPr>
          <w:rFonts w:hint="eastAsia" w:ascii="宋体" w:hAnsi="宋体" w:eastAsia="宋体" w:cs="宋体"/>
          <w:sz w:val="24"/>
          <w:szCs w:val="24"/>
          <w:highlight w:val="none"/>
        </w:rPr>
        <w:t>合同签订</w:t>
      </w:r>
      <w:r>
        <w:rPr>
          <w:rFonts w:hint="eastAsia" w:ascii="宋体" w:hAnsi="宋体" w:eastAsia="宋体" w:cs="宋体"/>
          <w:sz w:val="24"/>
          <w:szCs w:val="24"/>
          <w:highlight w:val="none"/>
          <w:lang w:val="en-US" w:eastAsia="zh-CN"/>
        </w:rPr>
        <w:t>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支付首付款</w:t>
      </w:r>
      <w:r>
        <w:rPr>
          <w:rFonts w:hint="eastAsia" w:ascii="宋体" w:hAnsi="宋体" w:eastAsia="宋体" w:cs="宋体"/>
          <w:sz w:val="24"/>
          <w:szCs w:val="24"/>
          <w:highlight w:val="none"/>
        </w:rPr>
        <w:t>之日起</w:t>
      </w:r>
      <w:r>
        <w:rPr>
          <w:rFonts w:hint="eastAsia" w:ascii="宋体" w:hAnsi="宋体" w:cs="宋体"/>
          <w:sz w:val="24"/>
          <w:szCs w:val="24"/>
          <w:highlight w:val="none"/>
          <w:u w:val="single"/>
          <w:lang w:val="en-US" w:eastAsia="zh-CN"/>
        </w:rPr>
        <w:t xml:space="preserve">     </w:t>
      </w:r>
      <w:bookmarkStart w:id="3" w:name="_GoBack"/>
      <w:bookmarkEnd w:id="3"/>
      <w:r>
        <w:rPr>
          <w:rFonts w:hint="eastAsia" w:ascii="宋体" w:hAnsi="宋体" w:eastAsia="宋体" w:cs="宋体"/>
          <w:sz w:val="24"/>
          <w:szCs w:val="24"/>
          <w:highlight w:val="none"/>
        </w:rPr>
        <w:t>个日历日</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，乙方</w:t>
      </w:r>
      <w:r>
        <w:rPr>
          <w:rFonts w:hint="eastAsia" w:ascii="宋体" w:hAnsi="宋体" w:eastAsia="宋体" w:cs="宋体"/>
          <w:bCs/>
          <w:sz w:val="24"/>
          <w:szCs w:val="24"/>
          <w:highlight w:val="none"/>
        </w:rPr>
        <w:t>完成产品的供货</w:t>
      </w:r>
      <w:r>
        <w:rPr>
          <w:rFonts w:hint="eastAsia" w:ascii="宋体" w:hAnsi="宋体" w:eastAsia="宋体" w:cs="宋体"/>
          <w:bCs/>
          <w:sz w:val="24"/>
          <w:szCs w:val="24"/>
          <w:highlight w:val="none"/>
          <w:lang w:eastAsia="zh-CN"/>
        </w:rPr>
        <w:t>。</w:t>
      </w:r>
    </w:p>
    <w:p w14:paraId="0EEDD5C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六、运输</w:t>
      </w:r>
    </w:p>
    <w:p w14:paraId="6C41543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（一）乙方负责所有产品的运输，确保采购产品安全、完整到达甲方指定地点。运杂费用已包含在合同总价内，包括从产品供应地点所含的运输费、装卸费、仓储费、保险费等。</w:t>
      </w:r>
    </w:p>
    <w:p w14:paraId="0C45210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（二）运输方式由乙方自行选择，但必须保证按期交货所有采购货物在运输、搬运的过程中，造成甲方损失的，由乙方为甲方修复或更新。</w:t>
      </w:r>
    </w:p>
    <w:p w14:paraId="25168222">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七、质量保证</w:t>
      </w:r>
    </w:p>
    <w:p w14:paraId="1A91B57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乙方所供产品必须执行下列条款：</w:t>
      </w:r>
    </w:p>
    <w:p w14:paraId="4F49762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（一）选用的产品保证质量性能可靠、进货渠道正常，配置合理，满足招标文件要求。</w:t>
      </w:r>
    </w:p>
    <w:p w14:paraId="73F1E16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（二）产品达到或高于甲方所设参数，并符合国家有关规范要求，确保整个产品达到最佳运行状态。</w:t>
      </w:r>
    </w:p>
    <w:p w14:paraId="619AEFDB">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（三）产品具有良好的外观，适合安装场所的使用。</w:t>
      </w:r>
    </w:p>
    <w:p w14:paraId="23A6383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四</w:t>
      </w:r>
      <w:r>
        <w:rPr>
          <w:rFonts w:hint="eastAsia" w:ascii="宋体" w:hAnsi="宋体" w:eastAsia="宋体" w:cs="宋体"/>
          <w:bCs/>
          <w:sz w:val="24"/>
          <w:szCs w:val="24"/>
          <w:highlight w:val="none"/>
        </w:rPr>
        <w:t>）产品自安装、调试正常运行并验收合格之日起：</w:t>
      </w:r>
    </w:p>
    <w:p w14:paraId="5148AE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cs="宋体"/>
          <w:sz w:val="24"/>
          <w:szCs w:val="24"/>
          <w:highlight w:val="none"/>
          <w:u w:val="single"/>
          <w:lang w:val="en-US" w:eastAsia="zh-CN"/>
        </w:rPr>
        <w:t xml:space="preserve">           年</w:t>
      </w:r>
      <w:r>
        <w:rPr>
          <w:rFonts w:hint="eastAsia" w:ascii="宋体" w:hAnsi="宋体" w:eastAsia="宋体" w:cs="宋体"/>
          <w:bCs/>
          <w:sz w:val="24"/>
          <w:szCs w:val="24"/>
          <w:highlight w:val="none"/>
        </w:rPr>
        <w:t>质保期内，。</w:t>
      </w:r>
    </w:p>
    <w:p w14:paraId="718ECB7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八、售后服务</w:t>
      </w:r>
    </w:p>
    <w:p w14:paraId="71A351E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（一）货物质保期：终验合格后不少于24个月，招标文件另有约定、厂家或供应商另有承诺的除外。</w:t>
      </w:r>
    </w:p>
    <w:p w14:paraId="2C0EF643">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（二）货物的设计、制造应遵照行业的现行规范和标准。所有货物及辅材必须是未使用过的，是用最新工艺生产的最新产品，质量优良、渠道正当，配置合理。</w:t>
      </w:r>
    </w:p>
    <w:p w14:paraId="1E3B462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（三）乙方应承诺在质量保证期内免费提供货物维修、更换零部件等服务，质量保证期后以优惠价提供上述服务。</w:t>
      </w:r>
    </w:p>
    <w:p w14:paraId="3532DCE8">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（四）甲方只对乙方提出质量服务要求，所有涉及货物制造商的质量、售后、版权等有关事项均由乙方负责。</w:t>
      </w:r>
    </w:p>
    <w:p w14:paraId="61E92B26">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eastAsia="zh-CN"/>
        </w:rPr>
        <w:t>九</w:t>
      </w:r>
      <w:r>
        <w:rPr>
          <w:rFonts w:hint="eastAsia" w:ascii="宋体" w:hAnsi="宋体" w:eastAsia="宋体" w:cs="宋体"/>
          <w:b/>
          <w:bCs w:val="0"/>
          <w:sz w:val="24"/>
          <w:szCs w:val="24"/>
          <w:highlight w:val="none"/>
        </w:rPr>
        <w:t>、违约责任</w:t>
      </w:r>
    </w:p>
    <w:p w14:paraId="0A68203E">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（一）按《</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》中的相关条款执行。</w:t>
      </w:r>
    </w:p>
    <w:p w14:paraId="39FB525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（二）乙方</w:t>
      </w:r>
      <w:r>
        <w:rPr>
          <w:rFonts w:hint="eastAsia" w:ascii="宋体" w:hAnsi="宋体" w:eastAsia="宋体" w:cs="宋体"/>
          <w:bCs/>
          <w:sz w:val="24"/>
          <w:szCs w:val="24"/>
          <w:highlight w:val="none"/>
          <w:lang w:val="en-US" w:eastAsia="zh-CN"/>
        </w:rPr>
        <w:t>未能在交货期限交货的，需要书面向甲方提出申请，并得到甲方同意</w:t>
      </w:r>
      <w:r>
        <w:rPr>
          <w:rFonts w:hint="eastAsia" w:ascii="宋体" w:hAnsi="宋体" w:eastAsia="宋体" w:cs="宋体"/>
          <w:bCs/>
          <w:sz w:val="24"/>
          <w:szCs w:val="24"/>
          <w:highlight w:val="none"/>
        </w:rPr>
        <w:t>。</w:t>
      </w:r>
    </w:p>
    <w:p w14:paraId="597F40F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乙方按合同要求提供产品质量、参数不能满足甲方采购技术要求，乙方必须无条件更换产品、提高技术、完善质量，否则，甲方会同监督机构、采购代理机构有权终止合同并对乙方违约行为进行追究，同时按政府采购供应商管理办法进行相应的处罚。</w:t>
      </w:r>
    </w:p>
    <w:p w14:paraId="533EC4C0">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kern w:val="28"/>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四</w:t>
      </w:r>
      <w:r>
        <w:rPr>
          <w:rFonts w:hint="eastAsia" w:ascii="宋体" w:hAnsi="宋体" w:eastAsia="宋体" w:cs="宋体"/>
          <w:kern w:val="28"/>
          <w:sz w:val="24"/>
          <w:szCs w:val="24"/>
          <w:highlight w:val="none"/>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20 %的违约金，违约金不足以弥补给甲方造成的损失的，乙方还应当承担补足责任。</w:t>
      </w:r>
    </w:p>
    <w:p w14:paraId="73FDB0A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
          <w:bCs/>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五</w:t>
      </w:r>
      <w:r>
        <w:rPr>
          <w:rFonts w:hint="eastAsia" w:ascii="宋体" w:hAnsi="宋体" w:eastAsia="宋体" w:cs="宋体"/>
          <w:kern w:val="28"/>
          <w:sz w:val="24"/>
          <w:szCs w:val="24"/>
          <w:highlight w:val="none"/>
        </w:rPr>
        <w:t>）合同成立后，在任何一方无实质违约的情况下，未经相对方书面允许，任何一方不得单方撤销、中止、终止履行合同。</w:t>
      </w:r>
    </w:p>
    <w:p w14:paraId="06F837CA">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cs="宋体"/>
          <w:b/>
          <w:bCs w:val="0"/>
          <w:sz w:val="24"/>
          <w:szCs w:val="24"/>
          <w:highlight w:val="none"/>
          <w:lang w:val="en-US" w:eastAsia="zh-CN"/>
        </w:rPr>
        <w:t>十</w:t>
      </w:r>
      <w:r>
        <w:rPr>
          <w:rFonts w:hint="eastAsia" w:ascii="宋体" w:hAnsi="宋体" w:eastAsia="宋体" w:cs="宋体"/>
          <w:b/>
          <w:bCs w:val="0"/>
          <w:sz w:val="24"/>
          <w:szCs w:val="24"/>
          <w:highlight w:val="none"/>
        </w:rPr>
        <w:t>、项目验收</w:t>
      </w:r>
    </w:p>
    <w:p w14:paraId="576284D8">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rPr>
        <w:t>乙方安装调试合格</w:t>
      </w:r>
      <w:r>
        <w:rPr>
          <w:rFonts w:hint="eastAsia" w:ascii="宋体" w:hAnsi="宋体" w:eastAsia="宋体" w:cs="宋体"/>
          <w:bCs/>
          <w:sz w:val="24"/>
          <w:szCs w:val="24"/>
          <w:highlight w:val="none"/>
          <w:lang w:eastAsia="zh-CN"/>
        </w:rPr>
        <w:t>试运行</w:t>
      </w:r>
      <w:r>
        <w:rPr>
          <w:rFonts w:hint="eastAsia" w:ascii="宋体" w:hAnsi="宋体" w:eastAsia="宋体" w:cs="宋体"/>
          <w:bCs/>
          <w:sz w:val="24"/>
          <w:szCs w:val="24"/>
          <w:highlight w:val="none"/>
          <w:lang w:val="en-US" w:eastAsia="zh-CN"/>
        </w:rPr>
        <w:t>一个月后</w:t>
      </w:r>
      <w:r>
        <w:rPr>
          <w:rFonts w:hint="eastAsia" w:ascii="宋体" w:hAnsi="宋体" w:eastAsia="宋体" w:cs="宋体"/>
          <w:bCs/>
          <w:sz w:val="24"/>
          <w:szCs w:val="24"/>
          <w:highlight w:val="none"/>
        </w:rPr>
        <w:t>，甲方组织人员对项目进行全面验收，对所有设备的稳定性、运行/使用状况进行验收，合格后由甲方向乙方出具验收报告。验收报告作为付款依据，乙方要向甲方提交实施过程中的所有资料，以便日后管理和维护。</w:t>
      </w:r>
    </w:p>
    <w:p w14:paraId="1AA4D513">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验收依据：</w:t>
      </w:r>
    </w:p>
    <w:p w14:paraId="2F53D9DD">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1.合同文本、</w:t>
      </w:r>
      <w:r>
        <w:rPr>
          <w:rFonts w:hint="eastAsia" w:ascii="宋体" w:hAnsi="宋体" w:cs="宋体"/>
          <w:bCs/>
          <w:sz w:val="24"/>
          <w:szCs w:val="24"/>
          <w:highlight w:val="none"/>
          <w:lang w:val="en-US" w:eastAsia="zh-CN"/>
        </w:rPr>
        <w:t>采购</w:t>
      </w:r>
      <w:r>
        <w:rPr>
          <w:rFonts w:hint="eastAsia" w:ascii="宋体" w:hAnsi="宋体" w:cs="宋体"/>
          <w:bCs/>
          <w:sz w:val="24"/>
          <w:szCs w:val="24"/>
          <w:highlight w:val="none"/>
          <w:lang w:val="zh-CN"/>
        </w:rPr>
        <w:t>（</w:t>
      </w:r>
      <w:r>
        <w:rPr>
          <w:rFonts w:hint="eastAsia" w:ascii="宋体" w:hAnsi="宋体" w:eastAsia="宋体" w:cs="宋体"/>
          <w:bCs/>
          <w:sz w:val="24"/>
          <w:szCs w:val="24"/>
          <w:highlight w:val="none"/>
          <w:lang w:val="zh-CN"/>
        </w:rPr>
        <w:t>招标</w:t>
      </w:r>
      <w:r>
        <w:rPr>
          <w:rFonts w:hint="eastAsia" w:ascii="宋体" w:hAnsi="宋体" w:cs="宋体"/>
          <w:bCs/>
          <w:sz w:val="24"/>
          <w:szCs w:val="24"/>
          <w:highlight w:val="none"/>
          <w:lang w:val="zh-CN"/>
        </w:rPr>
        <w:t>）</w:t>
      </w:r>
      <w:r>
        <w:rPr>
          <w:rFonts w:hint="eastAsia" w:ascii="宋体" w:hAnsi="宋体" w:eastAsia="宋体" w:cs="宋体"/>
          <w:bCs/>
          <w:sz w:val="24"/>
          <w:szCs w:val="24"/>
          <w:highlight w:val="none"/>
          <w:lang w:val="zh-CN"/>
        </w:rPr>
        <w:t>文件；</w:t>
      </w:r>
    </w:p>
    <w:p w14:paraId="4C98D386">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color w:val="000000"/>
          <w:sz w:val="24"/>
          <w:szCs w:val="24"/>
          <w:highlight w:val="none"/>
        </w:rPr>
        <w:t>2.国内相应的标准、规范。</w:t>
      </w:r>
    </w:p>
    <w:p w14:paraId="14A2E79F">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一</w:t>
      </w:r>
      <w:r>
        <w:rPr>
          <w:rFonts w:hint="eastAsia" w:ascii="宋体" w:hAnsi="宋体" w:eastAsia="宋体" w:cs="宋体"/>
          <w:b/>
          <w:bCs w:val="0"/>
          <w:sz w:val="24"/>
          <w:szCs w:val="24"/>
          <w:highlight w:val="none"/>
        </w:rPr>
        <w:t>、所有权及知识产权</w:t>
      </w:r>
    </w:p>
    <w:p w14:paraId="0F856E9F">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乙方应保证，甲方在中华人民共</w:t>
      </w:r>
      <w:r>
        <w:rPr>
          <w:rFonts w:hint="eastAsia" w:ascii="宋体" w:hAnsi="宋体" w:eastAsia="宋体" w:cs="宋体"/>
          <w:color w:val="000000"/>
          <w:sz w:val="24"/>
          <w:szCs w:val="24"/>
          <w:highlight w:val="none"/>
          <w:lang w:val="en-US" w:eastAsia="zh-CN"/>
        </w:rPr>
        <w:t>和</w:t>
      </w:r>
      <w:r>
        <w:rPr>
          <w:rFonts w:hint="eastAsia" w:ascii="宋体" w:hAnsi="宋体" w:eastAsia="宋体" w:cs="宋体"/>
          <w:color w:val="000000"/>
          <w:sz w:val="24"/>
          <w:szCs w:val="24"/>
          <w:highlight w:val="none"/>
        </w:rPr>
        <w:t>国使用所供货物或货物的任何一部分时，免受第三方提出的侵犯其专利权、商标权、知识产权或其他工业设计权的起诉。如发生此类纠纷，乙方承担一切法律责任和费用。乙方为执行本合同而提供的技术资料、软件的使用权归甲方所有.</w:t>
      </w:r>
    </w:p>
    <w:p w14:paraId="543F02B9">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二</w:t>
      </w:r>
      <w:r>
        <w:rPr>
          <w:rFonts w:hint="eastAsia" w:ascii="宋体" w:hAnsi="宋体" w:eastAsia="宋体" w:cs="宋体"/>
          <w:b/>
          <w:bCs w:val="0"/>
          <w:sz w:val="24"/>
          <w:szCs w:val="24"/>
          <w:highlight w:val="none"/>
        </w:rPr>
        <w:t>、保密条款</w:t>
      </w:r>
    </w:p>
    <w:p w14:paraId="63BB53B0">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双方承诺，除非法律另有规定或双方一致同意，任何一方不得将本协议的内容向第三方透露，否则，应向对方承担相应的违约责任。因法律行为（包括诉讼、仲裁等行为）和执行国家政策的需要进行披露的资料除外。</w:t>
      </w:r>
    </w:p>
    <w:p w14:paraId="0E8BDE5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三</w:t>
      </w:r>
      <w:r>
        <w:rPr>
          <w:rFonts w:hint="eastAsia" w:ascii="宋体" w:hAnsi="宋体" w:eastAsia="宋体" w:cs="宋体"/>
          <w:b/>
          <w:bCs w:val="0"/>
          <w:sz w:val="24"/>
          <w:szCs w:val="24"/>
          <w:highlight w:val="none"/>
        </w:rPr>
        <w:t>、不可抗力</w:t>
      </w:r>
    </w:p>
    <w:p w14:paraId="76FB3C5D">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4C812705">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2.一方因不可抗力不能履行合同或不能完全履行合同的，根据不可抗力的影响，可以部分或全部地免除责任。由于不可抗力原因致使项目实施中断时，项目</w:t>
      </w:r>
      <w:r>
        <w:rPr>
          <w:rFonts w:hint="eastAsia" w:ascii="宋体" w:hAnsi="宋体" w:eastAsia="宋体" w:cs="宋体"/>
          <w:kern w:val="28"/>
          <w:sz w:val="24"/>
          <w:szCs w:val="24"/>
          <w:highlight w:val="none"/>
        </w:rPr>
        <w:t>交付日期及付款日期相应顺延，各方不承担违约责任。</w:t>
      </w:r>
    </w:p>
    <w:p w14:paraId="3DF6269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3.如不可抗力时间延续90天以上的，各方通过协商达成在合理的时间内继续履行合同，或部分履行合同，或终止合同的履行。</w:t>
      </w:r>
    </w:p>
    <w:p w14:paraId="2C0516E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4.一方迟延履行后发生不可抗力的，不能免除责任。</w:t>
      </w:r>
    </w:p>
    <w:p w14:paraId="56A707B1">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四</w:t>
      </w:r>
      <w:r>
        <w:rPr>
          <w:rFonts w:hint="eastAsia" w:ascii="宋体" w:hAnsi="宋体" w:eastAsia="宋体" w:cs="宋体"/>
          <w:b/>
          <w:bCs w:val="0"/>
          <w:sz w:val="24"/>
          <w:szCs w:val="24"/>
          <w:highlight w:val="none"/>
        </w:rPr>
        <w:t>、合同争议解决的方式</w:t>
      </w:r>
    </w:p>
    <w:p w14:paraId="6E4594C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本合同在履行过程中发生的争议，由甲、乙双方协商解决，协商不成的按下列两种方式解决：</w:t>
      </w:r>
    </w:p>
    <w:p w14:paraId="1BAFDB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w:t>
      </w:r>
      <w:r>
        <w:rPr>
          <w:rFonts w:hint="eastAsia" w:ascii="宋体" w:hAnsi="宋体" w:eastAsia="宋体" w:cs="宋体"/>
          <w:bCs/>
          <w:sz w:val="24"/>
          <w:szCs w:val="24"/>
          <w:highlight w:val="none"/>
          <w:lang w:val="en-US" w:eastAsia="zh-CN"/>
        </w:rPr>
        <w:t>汉中市南郑区</w:t>
      </w:r>
      <w:r>
        <w:rPr>
          <w:rFonts w:hint="eastAsia" w:ascii="宋体" w:hAnsi="宋体" w:eastAsia="宋体" w:cs="宋体"/>
          <w:bCs/>
          <w:sz w:val="24"/>
          <w:szCs w:val="24"/>
          <w:highlight w:val="none"/>
        </w:rPr>
        <w:t>仲裁委员会仲裁；</w:t>
      </w:r>
    </w:p>
    <w:p w14:paraId="2C45A6A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7B1E999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五</w:t>
      </w:r>
      <w:r>
        <w:rPr>
          <w:rFonts w:hint="eastAsia" w:ascii="宋体" w:hAnsi="宋体" w:eastAsia="宋体" w:cs="宋体"/>
          <w:b/>
          <w:bCs w:val="0"/>
          <w:sz w:val="24"/>
          <w:szCs w:val="24"/>
          <w:highlight w:val="none"/>
        </w:rPr>
        <w:t>、合同生效</w:t>
      </w:r>
    </w:p>
    <w:p w14:paraId="6BDE456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1.合同未尽事宜，由甲、乙双方协商，作为合同补充，与原合同具有同等法律效力。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争议期间发生的诉讼费、律师费、鉴定费等相关费用均由败诉方承担。在诉讼期间，除正在进行诉讼的部分外，本合同其它部分应继续执行。</w:t>
      </w:r>
    </w:p>
    <w:p w14:paraId="4832A2E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2.本合同正本一式肆份，甲方、乙方双方分别执壹份，甲方相关部门备案壹份，采购代理机构备案</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rPr>
        <w:t>份。在法律上具有同等效力，双方代表签字后生效，任何一方违反本合同条款，均根据《</w:t>
      </w:r>
      <w:r>
        <w:rPr>
          <w:rFonts w:hint="eastAsia" w:ascii="宋体" w:hAnsi="宋体" w:cs="宋体"/>
          <w:sz w:val="24"/>
          <w:szCs w:val="24"/>
          <w:highlight w:val="none"/>
          <w:lang w:eastAsia="zh-CN"/>
        </w:rPr>
        <w:t>中华人民共和国民法典</w:t>
      </w:r>
      <w:r>
        <w:rPr>
          <w:rFonts w:hint="eastAsia" w:ascii="宋体" w:hAnsi="宋体" w:eastAsia="宋体" w:cs="宋体"/>
          <w:sz w:val="24"/>
          <w:szCs w:val="24"/>
          <w:highlight w:val="none"/>
        </w:rPr>
        <w:t>》及其他相关法律或规定承担经济责任。</w:t>
      </w:r>
    </w:p>
    <w:p w14:paraId="6EFFF15D">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合同须经甲、乙双方的法定代表人（授权代理人）在合同书上签字并加盖本单位公章后正实生效。本合同经甲乙双方盖章、签字后生效，合同签订地点为甲方指定地点，合同执行完毕后，自动失效。本合同生效后，双方须严格执行，发生特殊情况时，甲、乙任何一方需变更本合同的，或有一方因故不能履行合同，必须提前两周征得对方书面同意，方可终止本合同。</w:t>
      </w:r>
    </w:p>
    <w:p w14:paraId="61341A98">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4.本合同的附件为本合同不可分割的部分，与本合同正文具有同等的法律效力。合同附件与本合同约定不一致的，以本合同的约定为准，除非双方一致同意并以书面形式表示以合同附件为准。</w:t>
      </w:r>
    </w:p>
    <w:p w14:paraId="24E8A5C6">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9"/>
        <w:tblW w:w="9551" w:type="dxa"/>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28" w:type="dxa"/>
          <w:left w:w="57" w:type="dxa"/>
          <w:bottom w:w="28" w:type="dxa"/>
          <w:right w:w="57" w:type="dxa"/>
        </w:tblCellMar>
      </w:tblPr>
      <w:tblGrid>
        <w:gridCol w:w="4886"/>
        <w:gridCol w:w="4665"/>
      </w:tblGrid>
      <w:tr w14:paraId="4BE30A1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28" w:type="dxa"/>
            <w:left w:w="57" w:type="dxa"/>
            <w:bottom w:w="28" w:type="dxa"/>
            <w:right w:w="57" w:type="dxa"/>
          </w:tblCellMar>
        </w:tblPrEx>
        <w:trPr>
          <w:trHeight w:val="5080" w:hRule="atLeast"/>
          <w:jc w:val="center"/>
        </w:trPr>
        <w:tc>
          <w:tcPr>
            <w:tcW w:w="4886" w:type="dxa"/>
            <w:noWrap w:val="0"/>
            <w:tcMar>
              <w:top w:w="28" w:type="dxa"/>
              <w:left w:w="28" w:type="dxa"/>
              <w:bottom w:w="28" w:type="dxa"/>
              <w:right w:w="28" w:type="dxa"/>
            </w:tcMar>
            <w:vAlign w:val="top"/>
          </w:tcPr>
          <w:p w14:paraId="51C16921">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 xml:space="preserve"> </w:t>
            </w:r>
          </w:p>
          <w:p w14:paraId="2067C718">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4287D45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18090770">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税号</w:t>
            </w:r>
            <w:r>
              <w:rPr>
                <w:rFonts w:hint="eastAsia" w:ascii="宋体" w:hAnsi="宋体" w:eastAsia="宋体" w:cs="宋体"/>
                <w:b/>
                <w:sz w:val="24"/>
                <w:szCs w:val="24"/>
                <w:highlight w:val="none"/>
              </w:rPr>
              <w:t>：</w:t>
            </w:r>
          </w:p>
          <w:p w14:paraId="6C769EFB">
            <w:pPr>
              <w:spacing w:line="360" w:lineRule="exact"/>
              <w:ind w:left="1248" w:hanging="998" w:hangingChars="41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b/>
                <w:sz w:val="24"/>
                <w:szCs w:val="24"/>
                <w:highlight w:val="none"/>
              </w:rPr>
              <w:t>：</w:t>
            </w:r>
          </w:p>
          <w:p w14:paraId="26E4EB5C">
            <w:pPr>
              <w:spacing w:line="360" w:lineRule="exact"/>
              <w:ind w:left="1470" w:hanging="1176" w:hangingChars="49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r>
              <w:rPr>
                <w:rFonts w:hint="eastAsia" w:ascii="宋体" w:hAnsi="宋体" w:eastAsia="宋体" w:cs="宋体"/>
                <w:b/>
                <w:sz w:val="24"/>
                <w:szCs w:val="24"/>
                <w:highlight w:val="none"/>
              </w:rPr>
              <w:t>：</w:t>
            </w:r>
          </w:p>
          <w:p w14:paraId="54842B24">
            <w:pPr>
              <w:pStyle w:val="4"/>
              <w:ind w:left="0" w:leftChars="0" w:firstLine="0" w:firstLineChars="0"/>
              <w:rPr>
                <w:rFonts w:hint="eastAsia" w:ascii="宋体" w:hAnsi="宋体" w:eastAsia="宋体" w:cs="宋体"/>
                <w:sz w:val="24"/>
                <w:szCs w:val="24"/>
                <w:highlight w:val="none"/>
              </w:rPr>
            </w:pPr>
          </w:p>
          <w:p w14:paraId="777327BE">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229F0E36">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6D00E284">
            <w:pPr>
              <w:spacing w:line="360" w:lineRule="exact"/>
              <w:jc w:val="left"/>
              <w:rPr>
                <w:rFonts w:hint="eastAsia" w:ascii="宋体" w:hAnsi="宋体" w:eastAsia="宋体" w:cs="宋体"/>
                <w:sz w:val="24"/>
                <w:szCs w:val="24"/>
                <w:highlight w:val="none"/>
              </w:rPr>
            </w:pPr>
          </w:p>
          <w:p w14:paraId="099E9AA0">
            <w:pPr>
              <w:spacing w:line="360" w:lineRule="exact"/>
              <w:jc w:val="left"/>
              <w:rPr>
                <w:rFonts w:hint="eastAsia" w:ascii="宋体" w:hAnsi="宋体" w:eastAsia="宋体" w:cs="宋体"/>
                <w:sz w:val="24"/>
                <w:szCs w:val="24"/>
                <w:highlight w:val="none"/>
              </w:rPr>
            </w:pPr>
          </w:p>
          <w:p w14:paraId="40D0A0C8">
            <w:pPr>
              <w:spacing w:line="360" w:lineRule="exact"/>
              <w:jc w:val="left"/>
              <w:rPr>
                <w:rFonts w:hint="eastAsia" w:ascii="宋体" w:hAnsi="宋体" w:eastAsia="宋体" w:cs="宋体"/>
                <w:sz w:val="24"/>
                <w:szCs w:val="24"/>
                <w:highlight w:val="none"/>
              </w:rPr>
            </w:pPr>
          </w:p>
          <w:p w14:paraId="58EC7E53">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c>
          <w:tcPr>
            <w:tcW w:w="4665" w:type="dxa"/>
            <w:noWrap w:val="0"/>
            <w:tcMar>
              <w:top w:w="28" w:type="dxa"/>
              <w:left w:w="28" w:type="dxa"/>
              <w:bottom w:w="28" w:type="dxa"/>
              <w:right w:w="28" w:type="dxa"/>
            </w:tcMar>
            <w:vAlign w:val="top"/>
          </w:tcPr>
          <w:p w14:paraId="326F7AA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p w14:paraId="59A5A703">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p>
          <w:p w14:paraId="4341884F">
            <w:pPr>
              <w:rPr>
                <w:rFonts w:hint="eastAsia" w:ascii="宋体" w:hAnsi="宋体" w:eastAsia="宋体" w:cs="宋体"/>
                <w:sz w:val="24"/>
                <w:szCs w:val="24"/>
              </w:rPr>
            </w:pPr>
            <w:r>
              <w:rPr>
                <w:rFonts w:hint="eastAsia" w:ascii="宋体" w:hAnsi="宋体" w:eastAsia="宋体" w:cs="宋体"/>
                <w:sz w:val="24"/>
                <w:szCs w:val="24"/>
                <w:highlight w:val="none"/>
                <w:lang w:val="en-US" w:eastAsia="zh-CN"/>
              </w:rPr>
              <w:t>电话：</w:t>
            </w:r>
          </w:p>
          <w:p w14:paraId="222CDB74">
            <w:pPr>
              <w:pStyle w:val="4"/>
              <w:ind w:left="0" w:leftChars="0" w:firstLine="0" w:firstLineChars="0"/>
              <w:rPr>
                <w:rFonts w:hint="eastAsia" w:ascii="宋体" w:hAnsi="宋体" w:eastAsia="宋体" w:cs="宋体"/>
                <w:sz w:val="24"/>
                <w:szCs w:val="24"/>
                <w:highlight w:val="none"/>
              </w:rPr>
            </w:pPr>
          </w:p>
          <w:p w14:paraId="7D788DB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税号：</w:t>
            </w:r>
          </w:p>
          <w:p w14:paraId="443FAEE7">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开户行：</w:t>
            </w:r>
          </w:p>
          <w:p w14:paraId="2A28A1F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帐号：</w:t>
            </w:r>
          </w:p>
          <w:p w14:paraId="48A60BAF">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14A6A7EA">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0F41A50A">
            <w:pPr>
              <w:spacing w:line="360" w:lineRule="exact"/>
              <w:jc w:val="left"/>
              <w:rPr>
                <w:rFonts w:hint="eastAsia" w:ascii="宋体" w:hAnsi="宋体" w:eastAsia="宋体" w:cs="宋体"/>
                <w:b/>
                <w:bCs/>
                <w:kern w:val="0"/>
                <w:sz w:val="24"/>
                <w:szCs w:val="24"/>
                <w:highlight w:val="none"/>
              </w:rPr>
            </w:pPr>
          </w:p>
          <w:p w14:paraId="75BBF0FD">
            <w:pPr>
              <w:spacing w:line="360" w:lineRule="exact"/>
              <w:jc w:val="left"/>
              <w:rPr>
                <w:rFonts w:hint="eastAsia" w:ascii="宋体" w:hAnsi="宋体" w:eastAsia="宋体" w:cs="宋体"/>
                <w:b/>
                <w:bCs/>
                <w:kern w:val="0"/>
                <w:sz w:val="24"/>
                <w:szCs w:val="24"/>
                <w:highlight w:val="none"/>
              </w:rPr>
            </w:pPr>
          </w:p>
          <w:p w14:paraId="61BD0C1B">
            <w:pPr>
              <w:spacing w:line="360" w:lineRule="exact"/>
              <w:jc w:val="left"/>
              <w:rPr>
                <w:rFonts w:hint="eastAsia" w:ascii="宋体" w:hAnsi="宋体" w:eastAsia="宋体" w:cs="宋体"/>
                <w:sz w:val="24"/>
                <w:szCs w:val="24"/>
                <w:highlight w:val="none"/>
              </w:rPr>
            </w:pPr>
          </w:p>
          <w:p w14:paraId="2E7DE735">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r>
    </w:tbl>
    <w:p w14:paraId="50DFF3A2">
      <w:pPr>
        <w:pStyle w:val="2"/>
        <w:numPr>
          <w:ilvl w:val="0"/>
          <w:numId w:val="0"/>
        </w:numPr>
        <w:bidi w:val="0"/>
        <w:ind w:leftChars="0"/>
        <w:jc w:val="both"/>
        <w:rPr>
          <w:rFonts w:hint="eastAsia" w:ascii="仿宋" w:hAnsi="仿宋" w:eastAsia="仿宋" w:cs="仿宋"/>
          <w:color w:val="000000"/>
          <w:sz w:val="24"/>
          <w:highlight w:val="none"/>
          <w:lang w:val="en-US" w:eastAsia="zh-CN"/>
        </w:rPr>
      </w:pPr>
    </w:p>
    <w:p w14:paraId="7F63D09B">
      <w:pPr>
        <w:pStyle w:val="2"/>
        <w:numPr>
          <w:ilvl w:val="0"/>
          <w:numId w:val="0"/>
        </w:numPr>
        <w:bidi w:val="0"/>
        <w:ind w:leftChars="0"/>
        <w:jc w:val="both"/>
        <w:rPr>
          <w:rFonts w:hint="eastAsia" w:ascii="仿宋" w:hAnsi="仿宋" w:eastAsia="仿宋" w:cs="仿宋"/>
          <w:color w:val="000000"/>
          <w:sz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5128AE"/>
    <w:multiLevelType w:val="multilevel"/>
    <w:tmpl w:val="CF5128AE"/>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suff w:val="nothing"/>
      <w:lvlText w:val="（%2）"/>
      <w:lvlJc w:val="left"/>
      <w:pPr>
        <w:tabs>
          <w:tab w:val="left" w:pos="0"/>
        </w:tabs>
        <w:ind w:left="0" w:leftChars="0" w:firstLine="0" w:firstLineChars="0"/>
      </w:pPr>
      <w:rPr>
        <w:rFonts w:hint="eastAsia" w:ascii="宋体" w:hAnsi="宋体" w:eastAsia="宋体" w:cs="宋体"/>
      </w:rPr>
    </w:lvl>
    <w:lvl w:ilvl="2" w:tentative="0">
      <w:start w:val="1"/>
      <w:numFmt w:val="decimal"/>
      <w:suff w:val="nothing"/>
      <w:lvlText w:val="%3、"/>
      <w:lvlJc w:val="left"/>
      <w:pPr>
        <w:tabs>
          <w:tab w:val="left" w:pos="0"/>
        </w:tabs>
        <w:ind w:left="0" w:leftChars="0" w:firstLine="0" w:firstLineChars="0"/>
      </w:pPr>
      <w:rPr>
        <w:rFonts w:hint="eastAsia" w:ascii="宋体" w:hAnsi="宋体" w:eastAsia="宋体" w:cs="宋体"/>
      </w:rPr>
    </w:lvl>
    <w:lvl w:ilvl="3" w:tentative="0">
      <w:start w:val="1"/>
      <w:numFmt w:val="decimal"/>
      <w:suff w:val="nothing"/>
      <w:lvlText w:val="%3.%4、"/>
      <w:lvlJc w:val="left"/>
      <w:pPr>
        <w:tabs>
          <w:tab w:val="left" w:pos="420"/>
        </w:tabs>
        <w:ind w:left="0" w:leftChars="0" w:firstLine="0" w:firstLineChars="0"/>
      </w:pPr>
      <w:rPr>
        <w:rFonts w:hint="eastAsia" w:ascii="宋体" w:hAnsi="宋体" w:eastAsia="宋体" w:cs="宋体"/>
      </w:rPr>
    </w:lvl>
    <w:lvl w:ilvl="4" w:tentative="0">
      <w:start w:val="1"/>
      <w:numFmt w:val="decimal"/>
      <w:suff w:val="nothing"/>
      <w:lvlText w:val="%3.%4.%5、"/>
      <w:lvlJc w:val="left"/>
      <w:pPr>
        <w:tabs>
          <w:tab w:val="left" w:pos="420"/>
        </w:tabs>
        <w:ind w:left="0" w:leftChars="0" w:firstLine="0" w:firstLineChars="0"/>
      </w:pPr>
      <w:rPr>
        <w:rFonts w:hint="eastAsia" w:ascii="宋体" w:hAnsi="宋体" w:eastAsia="宋体" w:cs="宋体"/>
      </w:rPr>
    </w:lvl>
    <w:lvl w:ilvl="5" w:tentative="0">
      <w:start w:val="1"/>
      <w:numFmt w:val="decimal"/>
      <w:suff w:val="nothing"/>
      <w:lvlText w:val="%3.%4.%5.%6、"/>
      <w:lvlJc w:val="left"/>
      <w:pPr>
        <w:tabs>
          <w:tab w:val="left" w:pos="420"/>
        </w:tabs>
        <w:ind w:left="0" w:leftChars="0" w:firstLine="0" w:firstLineChars="0"/>
      </w:pPr>
      <w:rPr>
        <w:rFonts w:hint="eastAsia" w:ascii="宋体" w:hAnsi="宋体" w:eastAsia="宋体" w:cs="宋体"/>
      </w:rPr>
    </w:lvl>
    <w:lvl w:ilvl="6" w:tentative="0">
      <w:start w:val="1"/>
      <w:numFmt w:val="decimalFullWidth"/>
      <w:suff w:val="nothing"/>
      <w:lvlText w:val="%7）"/>
      <w:lvlJc w:val="left"/>
      <w:pPr>
        <w:tabs>
          <w:tab w:val="left" w:pos="420"/>
        </w:tabs>
        <w:ind w:left="0" w:leftChars="0" w:firstLine="0" w:firstLineChars="0"/>
      </w:pPr>
      <w:rPr>
        <w:rFonts w:hint="eastAsia" w:ascii="宋体" w:hAnsi="宋体" w:eastAsia="宋体" w:cs="宋体"/>
      </w:rPr>
    </w:lvl>
    <w:lvl w:ilvl="7" w:tentative="0">
      <w:start w:val="1"/>
      <w:numFmt w:val="lowerLetter"/>
      <w:suff w:val="nothing"/>
      <w:lvlText w:val="%8、"/>
      <w:lvlJc w:val="left"/>
      <w:pPr>
        <w:tabs>
          <w:tab w:val="left" w:pos="420"/>
        </w:tabs>
        <w:ind w:left="3360" w:hanging="3360"/>
      </w:pPr>
      <w:rPr>
        <w:rFonts w:hint="eastAsia" w:ascii="宋体" w:hAnsi="宋体" w:eastAsia="宋体" w:cs="宋体"/>
      </w:rPr>
    </w:lvl>
    <w:lvl w:ilvl="8" w:tentative="0">
      <w:start w:val="1"/>
      <w:numFmt w:val="bullet"/>
      <w:lvlText w:val=""/>
      <w:lvlJc w:val="left"/>
      <w:pPr>
        <w:ind w:left="3780" w:hanging="420"/>
      </w:pPr>
      <w:rPr>
        <w:rFonts w:hint="eastAsia"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ZDIzZjcyYzcyOGY5NTkzMjA3ZGMyZDdiMTI5ZWQifQ=="/>
  </w:docVars>
  <w:rsids>
    <w:rsidRoot w:val="7DFC1DAB"/>
    <w:rsid w:val="11FA3CE1"/>
    <w:rsid w:val="3BAF7125"/>
    <w:rsid w:val="3BEC3A10"/>
    <w:rsid w:val="3E901230"/>
    <w:rsid w:val="43E772F3"/>
    <w:rsid w:val="5E311FF0"/>
    <w:rsid w:val="6037026B"/>
    <w:rsid w:val="743E26A8"/>
    <w:rsid w:val="7CD4520C"/>
    <w:rsid w:val="7DFC1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jc w:val="center"/>
      <w:outlineLvl w:val="0"/>
    </w:pPr>
    <w:rPr>
      <w:b/>
      <w:kern w:val="44"/>
      <w:sz w:val="36"/>
    </w:rPr>
  </w:style>
  <w:style w:type="paragraph" w:styleId="3">
    <w:name w:val="heading 2"/>
    <w:basedOn w:val="1"/>
    <w:next w:val="4"/>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firstLineChars="200"/>
    </w:pPr>
  </w:style>
  <w:style w:type="paragraph" w:styleId="6">
    <w:name w:val="Body Text"/>
    <w:basedOn w:val="1"/>
    <w:next w:val="1"/>
    <w:unhideWhenUsed/>
    <w:qFormat/>
    <w:uiPriority w:val="99"/>
    <w:pPr>
      <w:spacing w:after="120"/>
    </w:pPr>
    <w:rPr>
      <w:rFonts w:eastAsia="Times New Roman"/>
    </w:rPr>
  </w:style>
  <w:style w:type="paragraph" w:styleId="7">
    <w:name w:val="Body Text Indent"/>
    <w:basedOn w:val="1"/>
    <w:unhideWhenUsed/>
    <w:qFormat/>
    <w:uiPriority w:val="99"/>
    <w:pPr>
      <w:spacing w:after="120"/>
      <w:ind w:left="420" w:leftChars="200"/>
    </w:pPr>
  </w:style>
  <w:style w:type="paragraph" w:styleId="8">
    <w:name w:val="Normal (Web)"/>
    <w:basedOn w:val="1"/>
    <w:qFormat/>
    <w:uiPriority w:val="0"/>
    <w:pPr>
      <w:widowControl/>
      <w:spacing w:before="100" w:beforeLines="0" w:beforeAutospacing="1" w:after="100" w:afterLines="0" w:afterAutospacing="1"/>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3561</Words>
  <Characters>3611</Characters>
  <Lines>0</Lines>
  <Paragraphs>0</Paragraphs>
  <TotalTime>1</TotalTime>
  <ScaleCrop>false</ScaleCrop>
  <LinksUpToDate>false</LinksUpToDate>
  <CharactersWithSpaces>3829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2023-09-24T04:32:00Z</dcterms:created>
  <dc:creator>赵明杰</dc:creator>
  <cp:lastModifiedBy>勿忘初心</cp:lastModifiedBy>
  <dcterms:modified xsi:type="dcterms:W3CDTF">2025-11-06T02:32:07Z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EA4FCFCCB7F447AF8649A196EE87736B_13</vt:lpwstr>
  </property>
  <property fmtid="{D5CDD505-2E9C-101B-9397-08002B2CF9AE}" pid="4" name="KSOTemplateDocerSaveRecord">
    <vt:lpwstr>eyJoZGlkIjoiNTljMzgyZWM4ODViZGI5YjQ4N2I3OWMwNDZhYTRmYjgiLCJ1c2VySWQiOiIzMTA4ODA1NTkifQ==</vt:lpwstr>
  </property>
</Properties>
</file>