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版本号：2025-HZZB-HZ-03220251109001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汉中市南郑区2025年度中央财政林业草原改革发展资金其他国土绿化</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2025-HZZB-HZ-032</w:t>
      </w:r>
      <w:r>
        <w:br/>
      </w:r>
      <w:r>
        <w:br/>
      </w:r>
      <w:r>
        <w:br/>
      </w:r>
    </w:p>
    <w:p>
      <w:pPr>
        <w:pStyle w:val="null3"/>
        <w:jc w:val="center"/>
        <w:outlineLvl w:val="2"/>
      </w:pPr>
      <w:r>
        <w:rPr>
          <w:rFonts w:ascii="仿宋_GB2312" w:hAnsi="仿宋_GB2312" w:cs="仿宋_GB2312" w:eastAsia="仿宋_GB2312"/>
          <w:sz w:val="28"/>
          <w:b/>
        </w:rPr>
        <w:t>汉中市南郑区林业局</w:t>
      </w:r>
    </w:p>
    <w:p>
      <w:pPr>
        <w:pStyle w:val="null3"/>
        <w:jc w:val="center"/>
        <w:outlineLvl w:val="2"/>
      </w:pPr>
      <w:r>
        <w:rPr>
          <w:rFonts w:ascii="仿宋_GB2312" w:hAnsi="仿宋_GB2312" w:cs="仿宋_GB2312" w:eastAsia="仿宋_GB2312"/>
          <w:sz w:val="28"/>
          <w:b/>
        </w:rPr>
        <w:t>衡正国际工程咨询有限公司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衡正国际工程咨询有限公司</w:t>
      </w:r>
      <w:r>
        <w:rPr>
          <w:rFonts w:ascii="仿宋_GB2312" w:hAnsi="仿宋_GB2312" w:cs="仿宋_GB2312" w:eastAsia="仿宋_GB2312"/>
        </w:rPr>
        <w:t>（以下简称“代理机构”）受</w:t>
      </w:r>
      <w:r>
        <w:rPr>
          <w:rFonts w:ascii="仿宋_GB2312" w:hAnsi="仿宋_GB2312" w:cs="仿宋_GB2312" w:eastAsia="仿宋_GB2312"/>
        </w:rPr>
        <w:t>汉中市南郑区林业局</w:t>
      </w:r>
      <w:r>
        <w:rPr>
          <w:rFonts w:ascii="仿宋_GB2312" w:hAnsi="仿宋_GB2312" w:cs="仿宋_GB2312" w:eastAsia="仿宋_GB2312"/>
        </w:rPr>
        <w:t>委托，拟对</w:t>
      </w:r>
      <w:r>
        <w:rPr>
          <w:rFonts w:ascii="仿宋_GB2312" w:hAnsi="仿宋_GB2312" w:cs="仿宋_GB2312" w:eastAsia="仿宋_GB2312"/>
        </w:rPr>
        <w:t>汉中市南郑区2025年度中央财政林业草原改革发展资金其他国土绿化</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2025-HZZB-HZ-032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汉中市南郑区2025年度中央财政林业草原改革发展资金其他国土绿化</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汉中市南郑区2025年度中央财政林业草原改革发展资金其他国土绿化项目建设内容：森林修复9300亩，修复措施包括疏伐712.9亩，生长伐8587.1亩，采伐蓄积共计6337m3；补植补栽758.5亩；割灌除草面积9300亩。</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采购包1（汉中市南郑区2025年度中央财政林业草原改革发展资金其他国土绿化）：属于专门面向中小企业采购。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1、营业执照或相关证明文件：：供应商为具有独立承担民事责任能力的法人或其他组织或自然人，并出具合法有效的营业执照或事业法人 证书等国家规定的相关证明，自然人参与的提供其身份证明；供应商需提供相关证件复印件并盖电子章。</w:t>
      </w:r>
    </w:p>
    <w:p>
      <w:pPr>
        <w:pStyle w:val="null3"/>
      </w:pPr>
      <w:r>
        <w:rPr>
          <w:rFonts w:ascii="仿宋_GB2312" w:hAnsi="仿宋_GB2312" w:cs="仿宋_GB2312" w:eastAsia="仿宋_GB2312"/>
        </w:rPr>
        <w:t>2、法定代表人或单位负责人授权书：供应商应授权合法的人员参加投标全过程，其中法定代表人直接参加投标的，须出 具法定代表人身份证，并与营业执照上信息一致。法定代表人授权他人参加投标的，须提供法定代表人授权委托书。</w:t>
      </w:r>
    </w:p>
    <w:p>
      <w:pPr>
        <w:pStyle w:val="null3"/>
      </w:pPr>
      <w:r>
        <w:rPr>
          <w:rFonts w:ascii="仿宋_GB2312" w:hAnsi="仿宋_GB2312" w:cs="仿宋_GB2312" w:eastAsia="仿宋_GB2312"/>
        </w:rPr>
        <w:t>3、供应商资格承诺函：提供《汉中市政府采购供应商资格承诺函》。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南郑区汉山街道办事处南环路2号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汉中市南郑区林业局经办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13572619909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衡正国际工程咨询有限公司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汉中市汉台区汉上第一街12号楼 23 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0916-8886036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开户名称：衡正国际工程咨询有限公司汉中分公司</w:t>
            </w:r>
          </w:p>
          <w:p>
            <w:pPr>
              <w:pStyle w:val="null3"/>
            </w:pPr>
            <w:r>
              <w:rPr>
                <w:rFonts w:ascii="仿宋_GB2312" w:hAnsi="仿宋_GB2312" w:cs="仿宋_GB2312" w:eastAsia="仿宋_GB2312"/>
              </w:rPr>
              <w:t>开户银行：中国工商银行股份有限公司汉中兴汉路支行</w:t>
            </w:r>
          </w:p>
          <w:p>
            <w:pPr>
              <w:pStyle w:val="null3"/>
            </w:pPr>
            <w:r>
              <w:rPr>
                <w:rFonts w:ascii="仿宋_GB2312" w:hAnsi="仿宋_GB2312" w:cs="仿宋_GB2312" w:eastAsia="仿宋_GB2312"/>
              </w:rPr>
              <w:t>银行账号：2606 0552 0910 0052 851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说明：中标供应商按合同约定完全履行义务且项目验收合格后，我方将按合同约定无息退还履约保证金；若发生违约，我方有权依据合同扣除相应保证金用于弥补损失。</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费管理暂行办法的通知》（计价格〔2002〕1980号）文件及国家发展委下发的《关于降低部分建设项目收费标准规范收费行为等有关问题的通知》〔2011〕534号文件规定标准及采购代理合同约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汉中市南郑区林业局</w:t>
      </w:r>
      <w:r>
        <w:rPr>
          <w:rFonts w:ascii="仿宋_GB2312" w:hAnsi="仿宋_GB2312" w:cs="仿宋_GB2312" w:eastAsia="仿宋_GB2312"/>
        </w:rPr>
        <w:t>和</w:t>
      </w:r>
      <w:r>
        <w:rPr>
          <w:rFonts w:ascii="仿宋_GB2312" w:hAnsi="仿宋_GB2312" w:cs="仿宋_GB2312" w:eastAsia="仿宋_GB2312"/>
        </w:rPr>
        <w:t>衡正国际工程咨询有限公司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汉中市南郑区林业局</w:t>
      </w:r>
      <w:r>
        <w:rPr>
          <w:rFonts w:ascii="仿宋_GB2312" w:hAnsi="仿宋_GB2312" w:cs="仿宋_GB2312" w:eastAsia="仿宋_GB2312"/>
        </w:rPr>
        <w:t>负责解释。除上述招标文件内容，其他内容由</w:t>
      </w:r>
      <w:r>
        <w:rPr>
          <w:rFonts w:ascii="仿宋_GB2312" w:hAnsi="仿宋_GB2312" w:cs="仿宋_GB2312" w:eastAsia="仿宋_GB2312"/>
        </w:rPr>
        <w:t>衡正国际工程咨询有限公司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衡正国际工程咨询有限公司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由甲乙双方合同中约定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联系人：陈先生</w:t>
      </w:r>
    </w:p>
    <w:p>
      <w:pPr>
        <w:pStyle w:val="null3"/>
      </w:pPr>
      <w:r>
        <w:rPr>
          <w:rFonts w:ascii="仿宋_GB2312" w:hAnsi="仿宋_GB2312" w:cs="仿宋_GB2312" w:eastAsia="仿宋_GB2312"/>
        </w:rPr>
        <w:t>联系电话：0916-8886036</w:t>
      </w:r>
    </w:p>
    <w:p>
      <w:pPr>
        <w:pStyle w:val="null3"/>
      </w:pPr>
      <w:r>
        <w:rPr>
          <w:rFonts w:ascii="仿宋_GB2312" w:hAnsi="仿宋_GB2312" w:cs="仿宋_GB2312" w:eastAsia="仿宋_GB2312"/>
        </w:rPr>
        <w:t>地址：汉中市汉台区汉上第一街12号楼 23 层</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汉中市南郑区2025年度中央财政林业草原改革发展资金其他国土绿化项目建设内容：森林修复9300亩，修复措施包括疏伐712.9亩，生长伐8587.1亩，采伐蓄积共计6337m3；补植补栽758.5亩；割灌除草面积9300亩。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4,650,000.00</w:t>
      </w:r>
    </w:p>
    <w:p>
      <w:pPr>
        <w:pStyle w:val="null3"/>
      </w:pPr>
      <w:r>
        <w:rPr>
          <w:rFonts w:ascii="仿宋_GB2312" w:hAnsi="仿宋_GB2312" w:cs="仿宋_GB2312" w:eastAsia="仿宋_GB2312"/>
        </w:rPr>
        <w:t>采购包最高限价（元）: 4,650,000.00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汉中市南郑区2025年度中央财政林业草原改革发展资金其他国土绿化</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标的名称：汉中市南郑区2025年度中央财政林业草原改革发展资金其他国土绿化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outlineLvl w:val="1"/>
            </w:pPr>
            <w:r>
              <w:rPr>
                <w:rFonts w:ascii="仿宋_GB2312" w:hAnsi="仿宋_GB2312" w:cs="仿宋_GB2312" w:eastAsia="仿宋_GB2312"/>
                <w:sz w:val="28"/>
                <w:b/>
              </w:rPr>
              <w:t>本项目要按照《汉中市南郑区</w:t>
            </w:r>
            <w:r>
              <w:rPr>
                <w:rFonts w:ascii="仿宋_GB2312" w:hAnsi="仿宋_GB2312" w:cs="仿宋_GB2312" w:eastAsia="仿宋_GB2312"/>
                <w:sz w:val="28"/>
                <w:b/>
              </w:rPr>
              <w:t>2025年中央财政林业改革发展资金其他国土绿化项目作业设计》实施作业。</w:t>
            </w:r>
          </w:p>
          <w:p>
            <w:pPr>
              <w:pStyle w:val="null3"/>
              <w:numPr>
                <w:ilvl w:val="0"/>
                <w:numId w:val="1"/>
              </w:numPr>
            </w:pPr>
            <w:r>
              <w:rPr>
                <w:rFonts w:ascii="仿宋_GB2312" w:hAnsi="仿宋_GB2312" w:cs="仿宋_GB2312" w:eastAsia="仿宋_GB2312"/>
                <w:sz w:val="28"/>
                <w:b/>
              </w:rPr>
              <w:t>一</w:t>
            </w:r>
            <w:r>
              <w:rPr>
                <w:rFonts w:ascii="仿宋_GB2312" w:hAnsi="仿宋_GB2312" w:cs="仿宋_GB2312" w:eastAsia="仿宋_GB2312"/>
                <w:sz w:val="28"/>
              </w:rPr>
              <w:t>、</w:t>
            </w:r>
            <w:r>
              <w:rPr>
                <w:rFonts w:ascii="仿宋_GB2312" w:hAnsi="仿宋_GB2312" w:cs="仿宋_GB2312" w:eastAsia="仿宋_GB2312"/>
                <w:sz w:val="28"/>
                <w:b/>
              </w:rPr>
              <w:t>项目概况</w:t>
            </w:r>
          </w:p>
          <w:p>
            <w:pPr>
              <w:pStyle w:val="null3"/>
              <w:ind w:firstLine="576"/>
              <w:jc w:val="both"/>
            </w:pPr>
            <w:r>
              <w:rPr>
                <w:rFonts w:ascii="仿宋_GB2312" w:hAnsi="仿宋_GB2312" w:cs="仿宋_GB2312" w:eastAsia="仿宋_GB2312"/>
                <w:sz w:val="28"/>
              </w:rPr>
              <w:t>汉中市南郑区</w:t>
            </w:r>
            <w:r>
              <w:rPr>
                <w:rFonts w:ascii="仿宋_GB2312" w:hAnsi="仿宋_GB2312" w:cs="仿宋_GB2312" w:eastAsia="仿宋_GB2312"/>
                <w:sz w:val="28"/>
              </w:rPr>
              <w:t>2025年度中央财政林业草原改革发展资金其他国土绿化项目建设内容：森林修复9300亩，修复措施包括疏伐712.9亩，生长伐8587.1亩，采伐蓄积共计6337m3；补植补栽758.5亩；割灌除草面积9300亩。</w:t>
            </w:r>
          </w:p>
          <w:p>
            <w:pPr>
              <w:pStyle w:val="null3"/>
              <w:jc w:val="left"/>
              <w:outlineLvl w:val="1"/>
            </w:pPr>
            <w:r>
              <w:rPr>
                <w:rFonts w:ascii="仿宋_GB2312" w:hAnsi="仿宋_GB2312" w:cs="仿宋_GB2312" w:eastAsia="仿宋_GB2312"/>
                <w:sz w:val="28"/>
                <w:b/>
              </w:rPr>
              <w:t>1</w:t>
            </w:r>
            <w:r>
              <w:rPr>
                <w:rFonts w:ascii="仿宋_GB2312" w:hAnsi="仿宋_GB2312" w:cs="仿宋_GB2312" w:eastAsia="仿宋_GB2312"/>
                <w:sz w:val="28"/>
                <w:b/>
              </w:rPr>
              <w:t>.1修复内容</w:t>
            </w:r>
          </w:p>
          <w:p>
            <w:pPr>
              <w:pStyle w:val="null3"/>
              <w:ind w:firstLine="576"/>
              <w:jc w:val="both"/>
            </w:pPr>
            <w:r>
              <w:rPr>
                <w:rFonts w:ascii="仿宋_GB2312" w:hAnsi="仿宋_GB2312" w:cs="仿宋_GB2312" w:eastAsia="仿宋_GB2312"/>
                <w:sz w:val="28"/>
              </w:rPr>
              <w:t>根据汉中市南郑区</w:t>
            </w:r>
            <w:r>
              <w:rPr>
                <w:rFonts w:ascii="仿宋_GB2312" w:hAnsi="仿宋_GB2312" w:cs="仿宋_GB2312" w:eastAsia="仿宋_GB2312"/>
                <w:sz w:val="28"/>
              </w:rPr>
              <w:t>2025年中央财政林业改革发展资金其他国土绿化项目作业小班调查结果，本次森林修复对象为天然中幼龄林和人工中幼龄林，确定目标树选择方法为：目标树种为巴山松、落叶松、栎类、杨树，因树种价值差异不显著，选择与其他相邻木相比生活力最强林木个体为目标树，辅助树种为针叶林中的阔叶树林木，阔叶林中的针叶树林木，以及周边没有目标树种的灌木；干扰树为影响目标树和保留辅助树生长，以及影响林分卫生条件的林木。根据林分和立地条件，不同抚育方式和方法的具体内容如下：</w:t>
            </w:r>
          </w:p>
          <w:p>
            <w:pPr>
              <w:pStyle w:val="null3"/>
              <w:spacing w:before="135"/>
              <w:ind w:left="30" w:firstLine="600"/>
              <w:jc w:val="both"/>
            </w:pPr>
            <w:r>
              <w:rPr>
                <w:rFonts w:ascii="仿宋_GB2312" w:hAnsi="仿宋_GB2312" w:cs="仿宋_GB2312" w:eastAsia="仿宋_GB2312"/>
                <w:sz w:val="27"/>
                <w:b/>
              </w:rPr>
              <w:t>1</w:t>
            </w:r>
            <w:r>
              <w:rPr>
                <w:rFonts w:ascii="仿宋_GB2312" w:hAnsi="仿宋_GB2312" w:cs="仿宋_GB2312" w:eastAsia="仿宋_GB2312"/>
                <w:sz w:val="27"/>
                <w:b/>
              </w:rPr>
              <w:t>.1.1</w:t>
            </w:r>
            <w:r>
              <w:rPr>
                <w:rFonts w:ascii="仿宋_GB2312" w:hAnsi="仿宋_GB2312" w:cs="仿宋_GB2312" w:eastAsia="仿宋_GB2312"/>
                <w:sz w:val="27"/>
                <w:b/>
              </w:rPr>
              <w:t>疏伐</w:t>
            </w:r>
            <w:r>
              <w:rPr>
                <w:rFonts w:ascii="仿宋_GB2312" w:hAnsi="仿宋_GB2312" w:cs="仿宋_GB2312" w:eastAsia="仿宋_GB2312"/>
                <w:sz w:val="27"/>
                <w:b/>
              </w:rPr>
              <w:t>+</w:t>
            </w:r>
            <w:r>
              <w:rPr>
                <w:rFonts w:ascii="仿宋_GB2312" w:hAnsi="仿宋_GB2312" w:cs="仿宋_GB2312" w:eastAsia="仿宋_GB2312"/>
                <w:sz w:val="27"/>
                <w:b/>
              </w:rPr>
              <w:t>割灌</w:t>
            </w:r>
          </w:p>
          <w:p>
            <w:pPr>
              <w:pStyle w:val="null3"/>
              <w:ind w:firstLine="576"/>
              <w:jc w:val="both"/>
            </w:pPr>
            <w:r>
              <w:rPr>
                <w:rFonts w:ascii="仿宋_GB2312" w:hAnsi="仿宋_GB2312" w:cs="仿宋_GB2312" w:eastAsia="仿宋_GB2312"/>
                <w:sz w:val="28"/>
              </w:rPr>
              <w:t>以解决林分密度过大问题为主，维持稳定的林分结构和促进林木生长为辅。</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1）清除缠绕目的树种的藤蔓以及影响目的树种生长的灌木。</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2）适当保留辅助树，清除干扰树。</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3）清除目标树种中生长落后的被压木、濒死木、染病木和干形不良的林木。</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4）保留木顺序为：目标树种林木、辅助树种林木、其他林木。</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5）抚育后林分郁闭度不低于0.6，郁闭度降低不超过0.2；目的树种平均胸径不低于采伐前平均胸径；目标树和辅助树株数占总株数比例不减少；采劣留优、采弱留强、采密留稀、疏密适度、保护幼苗幼树及兼顾林木分布均匀。</w:t>
            </w:r>
          </w:p>
          <w:p>
            <w:pPr>
              <w:pStyle w:val="null3"/>
              <w:spacing w:before="300"/>
              <w:ind w:left="30" w:firstLine="600"/>
              <w:jc w:val="both"/>
            </w:pPr>
            <w:r>
              <w:rPr>
                <w:rFonts w:ascii="仿宋_GB2312" w:hAnsi="仿宋_GB2312" w:cs="仿宋_GB2312" w:eastAsia="仿宋_GB2312"/>
                <w:sz w:val="27"/>
                <w:b/>
              </w:rPr>
              <w:t>1</w:t>
            </w:r>
            <w:r>
              <w:rPr>
                <w:rFonts w:ascii="仿宋_GB2312" w:hAnsi="仿宋_GB2312" w:cs="仿宋_GB2312" w:eastAsia="仿宋_GB2312"/>
                <w:sz w:val="27"/>
                <w:b/>
              </w:rPr>
              <w:t>.1.2</w:t>
            </w:r>
            <w:r>
              <w:rPr>
                <w:rFonts w:ascii="仿宋_GB2312" w:hAnsi="仿宋_GB2312" w:cs="仿宋_GB2312" w:eastAsia="仿宋_GB2312"/>
                <w:sz w:val="27"/>
                <w:b/>
              </w:rPr>
              <w:t>生长伐</w:t>
            </w:r>
            <w:r>
              <w:rPr>
                <w:rFonts w:ascii="仿宋_GB2312" w:hAnsi="仿宋_GB2312" w:cs="仿宋_GB2312" w:eastAsia="仿宋_GB2312"/>
                <w:sz w:val="27"/>
                <w:b/>
              </w:rPr>
              <w:t>+</w:t>
            </w:r>
            <w:r>
              <w:rPr>
                <w:rFonts w:ascii="仿宋_GB2312" w:hAnsi="仿宋_GB2312" w:cs="仿宋_GB2312" w:eastAsia="仿宋_GB2312"/>
                <w:sz w:val="27"/>
                <w:b/>
              </w:rPr>
              <w:t>割灌</w:t>
            </w:r>
          </w:p>
          <w:p>
            <w:pPr>
              <w:pStyle w:val="null3"/>
              <w:ind w:firstLine="576"/>
              <w:jc w:val="both"/>
            </w:pPr>
            <w:r>
              <w:rPr>
                <w:rFonts w:ascii="仿宋_GB2312" w:hAnsi="仿宋_GB2312" w:cs="仿宋_GB2312" w:eastAsia="仿宋_GB2312"/>
                <w:sz w:val="28"/>
              </w:rPr>
              <w:t>主要调整林分的密度和树种组成。</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1）清除缠绕目的树种的藤蔓以及影响目的树种生长的灌木。</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2）适当保留辅助树种，清除各种干扰木和生长过密的部分伴生木。</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3）清除目标树种中生长落后的被压木、濒死木、染病木和干形不良的林木。</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4）保留木顺序为：目标树种林木、辅助树种林木、其他林木。</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5）抚育后林分郁闭度不低于0.6，郁闭度降低不超过0.2；目的树种平均胸径不低于采伐前平均胸径；采劣留优、采弱留强、采密留稀、疏密适度、保护幼苗幼树及兼顾林木分布均匀。</w:t>
            </w:r>
          </w:p>
          <w:p>
            <w:pPr>
              <w:pStyle w:val="null3"/>
              <w:spacing w:before="135"/>
              <w:ind w:left="30" w:firstLine="600"/>
              <w:jc w:val="both"/>
            </w:pPr>
            <w:r>
              <w:rPr>
                <w:rFonts w:ascii="仿宋_GB2312" w:hAnsi="仿宋_GB2312" w:cs="仿宋_GB2312" w:eastAsia="仿宋_GB2312"/>
                <w:sz w:val="27"/>
                <w:b/>
              </w:rPr>
              <w:t>1.1.3补植+疏伐+割灌</w:t>
            </w:r>
          </w:p>
          <w:p>
            <w:pPr>
              <w:pStyle w:val="null3"/>
              <w:ind w:firstLine="576"/>
              <w:jc w:val="both"/>
            </w:pPr>
            <w:r>
              <w:rPr>
                <w:rFonts w:ascii="仿宋_GB2312" w:hAnsi="仿宋_GB2312" w:cs="仿宋_GB2312" w:eastAsia="仿宋_GB2312"/>
                <w:sz w:val="28"/>
              </w:rPr>
              <w:t>以解决林分密度过大导致的树种类型单一，自然更新困难问题，维持稳定的林分结构和促进林木生长为辅。</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1）立峰村补植侧柏或紫荆，黎坪林场和碑坝林场补植云杉或栓皮栎调整树种组成，营造针阔混交林。</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2）清除缠绕目的树种的藤蔓以及影响目的树种生长的灌木。</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3）适当保留辅助树，清除干扰树。</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4）清除目标树种中生长落后的被压木、濒死木、染病木和干形不良的林木。</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5）保留木顺序为：目标树种林木、辅助树种林木、其他林木。</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6）抚育后林分郁闭度不低于0.6，郁闭度降低不超过0.2；目的树种平均胸径不低于采伐前平均胸径；目标树和辅助树株数占总株数比例不减少；采劣留优、采弱留强、采密留稀、疏密适度、保护幼苗幼树及兼顾林木分布均匀。</w:t>
            </w:r>
          </w:p>
          <w:p>
            <w:pPr>
              <w:pStyle w:val="null3"/>
              <w:spacing w:before="300"/>
              <w:ind w:left="30" w:firstLine="600"/>
              <w:jc w:val="both"/>
            </w:pPr>
            <w:r>
              <w:rPr>
                <w:rFonts w:ascii="仿宋_GB2312" w:hAnsi="仿宋_GB2312" w:cs="仿宋_GB2312" w:eastAsia="仿宋_GB2312"/>
                <w:sz w:val="27"/>
                <w:b/>
              </w:rPr>
              <w:t>1</w:t>
            </w:r>
            <w:r>
              <w:rPr>
                <w:rFonts w:ascii="仿宋_GB2312" w:hAnsi="仿宋_GB2312" w:cs="仿宋_GB2312" w:eastAsia="仿宋_GB2312"/>
                <w:sz w:val="27"/>
                <w:b/>
              </w:rPr>
              <w:t>.1.4</w:t>
            </w:r>
            <w:r>
              <w:rPr>
                <w:rFonts w:ascii="仿宋_GB2312" w:hAnsi="仿宋_GB2312" w:cs="仿宋_GB2312" w:eastAsia="仿宋_GB2312"/>
                <w:sz w:val="27"/>
                <w:b/>
              </w:rPr>
              <w:t>补植</w:t>
            </w:r>
            <w:r>
              <w:rPr>
                <w:rFonts w:ascii="仿宋_GB2312" w:hAnsi="仿宋_GB2312" w:cs="仿宋_GB2312" w:eastAsia="仿宋_GB2312"/>
                <w:sz w:val="27"/>
                <w:b/>
              </w:rPr>
              <w:t>+</w:t>
            </w:r>
            <w:r>
              <w:rPr>
                <w:rFonts w:ascii="仿宋_GB2312" w:hAnsi="仿宋_GB2312" w:cs="仿宋_GB2312" w:eastAsia="仿宋_GB2312"/>
                <w:sz w:val="27"/>
                <w:b/>
              </w:rPr>
              <w:t>生长伐</w:t>
            </w:r>
            <w:r>
              <w:rPr>
                <w:rFonts w:ascii="仿宋_GB2312" w:hAnsi="仿宋_GB2312" w:cs="仿宋_GB2312" w:eastAsia="仿宋_GB2312"/>
                <w:sz w:val="27"/>
                <w:b/>
              </w:rPr>
              <w:t>+</w:t>
            </w:r>
            <w:r>
              <w:rPr>
                <w:rFonts w:ascii="仿宋_GB2312" w:hAnsi="仿宋_GB2312" w:cs="仿宋_GB2312" w:eastAsia="仿宋_GB2312"/>
                <w:sz w:val="27"/>
                <w:b/>
              </w:rPr>
              <w:t>割灌</w:t>
            </w:r>
          </w:p>
          <w:p>
            <w:pPr>
              <w:pStyle w:val="null3"/>
              <w:ind w:firstLine="576"/>
              <w:jc w:val="both"/>
            </w:pPr>
            <w:r>
              <w:rPr>
                <w:rFonts w:ascii="仿宋_GB2312" w:hAnsi="仿宋_GB2312" w:cs="仿宋_GB2312" w:eastAsia="仿宋_GB2312"/>
                <w:sz w:val="28"/>
              </w:rPr>
              <w:t>主要调整林分的密度和树种组成，营造针阔混交林。</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1）立峰村补植侧柏或紫荆，黎坪林场和碑坝林场补植云杉或栓皮栎调整树种组成，营造针阔混交林。</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2）清除缠绕目的树种的藤蔓以及影响目的树种生长的灌木。</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3）适当保留辅助树种，清除各种干扰木和生长过密的部分伴生木。</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4）清除目标树种中生长落后的被压木、濒死木、染病木和干形不良的林木。</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5）保留木顺序为：目标树种林木、辅助树种林木、其他林木。</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6）抚育后林分郁闭度不低于0.6，郁闭度降低不超过0.2；目的树种平均胸径不低于采伐前平均胸径；采劣留优、采弱留强、采密留稀、疏密适度、保护幼苗幼树及兼顾林木分布均匀。</w:t>
            </w:r>
          </w:p>
          <w:p>
            <w:pPr>
              <w:pStyle w:val="null3"/>
              <w:jc w:val="left"/>
              <w:outlineLvl w:val="1"/>
            </w:pPr>
            <w:r>
              <w:rPr>
                <w:rFonts w:ascii="仿宋_GB2312" w:hAnsi="仿宋_GB2312" w:cs="仿宋_GB2312" w:eastAsia="仿宋_GB2312"/>
                <w:sz w:val="28"/>
                <w:b/>
              </w:rPr>
              <w:t>1</w:t>
            </w:r>
            <w:r>
              <w:rPr>
                <w:rFonts w:ascii="仿宋_GB2312" w:hAnsi="仿宋_GB2312" w:cs="仿宋_GB2312" w:eastAsia="仿宋_GB2312"/>
                <w:sz w:val="28"/>
                <w:b/>
              </w:rPr>
              <w:t>.2抚育作业</w:t>
            </w:r>
          </w:p>
          <w:p>
            <w:pPr>
              <w:pStyle w:val="null3"/>
              <w:ind w:firstLine="576"/>
              <w:jc w:val="both"/>
            </w:pPr>
            <w:r>
              <w:rPr>
                <w:rFonts w:ascii="仿宋_GB2312" w:hAnsi="仿宋_GB2312" w:cs="仿宋_GB2312" w:eastAsia="仿宋_GB2312"/>
                <w:sz w:val="28"/>
              </w:rPr>
              <w:t>森林抚育作业应根据小班内地形、坡度及林分状况等条件进行。对于地形较为平缓、坡度较小、林分状况较好地段的人工林，应按照设计的抚育内容进行作业；对于地形较陡、坡度较大、林分状况一般或者梁脊等地段的天然林，为了防止发生水土流失、滑坡等自然灾害的发生，抚育内容主要是清除缠绕林木的藤蔓、抑制林下幼苗幼树生长的灌木及林分内的病虫木、风倒木、枯立木等，其他林木应尽量予以保留。</w:t>
            </w:r>
          </w:p>
          <w:p>
            <w:pPr>
              <w:pStyle w:val="null3"/>
              <w:jc w:val="left"/>
              <w:outlineLvl w:val="1"/>
            </w:pPr>
            <w:r>
              <w:rPr>
                <w:rFonts w:ascii="仿宋_GB2312" w:hAnsi="仿宋_GB2312" w:cs="仿宋_GB2312" w:eastAsia="仿宋_GB2312"/>
                <w:sz w:val="28"/>
                <w:b/>
              </w:rPr>
              <w:t>1</w:t>
            </w:r>
            <w:r>
              <w:rPr>
                <w:rFonts w:ascii="仿宋_GB2312" w:hAnsi="仿宋_GB2312" w:cs="仿宋_GB2312" w:eastAsia="仿宋_GB2312"/>
                <w:sz w:val="28"/>
                <w:b/>
              </w:rPr>
              <w:t>.3森林修复规模</w:t>
            </w:r>
          </w:p>
          <w:p>
            <w:pPr>
              <w:pStyle w:val="null3"/>
              <w:ind w:firstLine="576"/>
              <w:jc w:val="both"/>
            </w:pPr>
            <w:r>
              <w:rPr>
                <w:rFonts w:ascii="仿宋_GB2312" w:hAnsi="仿宋_GB2312" w:cs="仿宋_GB2312" w:eastAsia="仿宋_GB2312"/>
                <w:sz w:val="28"/>
              </w:rPr>
              <w:t>汉中市南郑区</w:t>
            </w:r>
            <w:r>
              <w:rPr>
                <w:rFonts w:ascii="仿宋_GB2312" w:hAnsi="仿宋_GB2312" w:cs="仿宋_GB2312" w:eastAsia="仿宋_GB2312"/>
                <w:sz w:val="28"/>
              </w:rPr>
              <w:t>2025</w:t>
            </w:r>
            <w:r>
              <w:rPr>
                <w:rFonts w:ascii="仿宋_GB2312" w:hAnsi="仿宋_GB2312" w:cs="仿宋_GB2312" w:eastAsia="仿宋_GB2312"/>
                <w:sz w:val="28"/>
              </w:rPr>
              <w:t>年中央财政林业改革发展资金其他国土绿化项目</w:t>
            </w:r>
            <w:r>
              <w:rPr>
                <w:rFonts w:ascii="仿宋_GB2312" w:hAnsi="仿宋_GB2312" w:cs="仿宋_GB2312" w:eastAsia="仿宋_GB2312"/>
                <w:sz w:val="28"/>
              </w:rPr>
              <w:t>作业面积规模为</w:t>
            </w:r>
            <w:r>
              <w:rPr>
                <w:rFonts w:ascii="仿宋_GB2312" w:hAnsi="仿宋_GB2312" w:cs="仿宋_GB2312" w:eastAsia="仿宋_GB2312"/>
                <w:sz w:val="28"/>
              </w:rPr>
              <w:t>9300亩，涉及个林场，50个作业小班。</w:t>
            </w:r>
          </w:p>
          <w:p>
            <w:pPr>
              <w:pStyle w:val="null3"/>
              <w:jc w:val="left"/>
              <w:outlineLvl w:val="1"/>
            </w:pPr>
            <w:r>
              <w:rPr>
                <w:rFonts w:ascii="仿宋_GB2312" w:hAnsi="仿宋_GB2312" w:cs="仿宋_GB2312" w:eastAsia="仿宋_GB2312"/>
                <w:sz w:val="28"/>
                <w:b/>
              </w:rPr>
              <w:t>1</w:t>
            </w:r>
            <w:r>
              <w:rPr>
                <w:rFonts w:ascii="仿宋_GB2312" w:hAnsi="仿宋_GB2312" w:cs="仿宋_GB2312" w:eastAsia="仿宋_GB2312"/>
                <w:sz w:val="28"/>
                <w:b/>
              </w:rPr>
              <w:t>.4作业区条件评价</w:t>
            </w:r>
          </w:p>
          <w:p>
            <w:pPr>
              <w:pStyle w:val="null3"/>
              <w:spacing w:before="105"/>
              <w:ind w:left="30" w:firstLine="600"/>
              <w:jc w:val="both"/>
            </w:pPr>
            <w:r>
              <w:rPr>
                <w:rFonts w:ascii="仿宋_GB2312" w:hAnsi="仿宋_GB2312" w:cs="仿宋_GB2312" w:eastAsia="仿宋_GB2312"/>
                <w:sz w:val="27"/>
                <w:b/>
              </w:rPr>
              <w:t>1</w:t>
            </w:r>
            <w:r>
              <w:rPr>
                <w:rFonts w:ascii="仿宋_GB2312" w:hAnsi="仿宋_GB2312" w:cs="仿宋_GB2312" w:eastAsia="仿宋_GB2312"/>
                <w:sz w:val="27"/>
                <w:b/>
              </w:rPr>
              <w:t>.4.1</w:t>
            </w:r>
            <w:r>
              <w:rPr>
                <w:rFonts w:ascii="仿宋_GB2312" w:hAnsi="仿宋_GB2312" w:cs="仿宋_GB2312" w:eastAsia="仿宋_GB2312"/>
                <w:sz w:val="27"/>
                <w:b/>
              </w:rPr>
              <w:t>抚育作业区林分总体状况分析</w:t>
            </w:r>
          </w:p>
          <w:p>
            <w:pPr>
              <w:pStyle w:val="null3"/>
              <w:ind w:firstLine="576"/>
              <w:jc w:val="both"/>
            </w:pPr>
            <w:r>
              <w:rPr>
                <w:rFonts w:ascii="仿宋_GB2312" w:hAnsi="仿宋_GB2312" w:cs="仿宋_GB2312" w:eastAsia="仿宋_GB2312"/>
                <w:sz w:val="28"/>
              </w:rPr>
              <w:t>根据调查，汉中市南郑区</w:t>
            </w:r>
            <w:r>
              <w:rPr>
                <w:rFonts w:ascii="仿宋_GB2312" w:hAnsi="仿宋_GB2312" w:cs="仿宋_GB2312" w:eastAsia="仿宋_GB2312"/>
                <w:sz w:val="28"/>
              </w:rPr>
              <w:t>2025</w:t>
            </w:r>
            <w:r>
              <w:rPr>
                <w:rFonts w:ascii="仿宋_GB2312" w:hAnsi="仿宋_GB2312" w:cs="仿宋_GB2312" w:eastAsia="仿宋_GB2312"/>
                <w:sz w:val="28"/>
              </w:rPr>
              <w:t>年中央财政林业改革发展资金其他国土绿化项目</w:t>
            </w:r>
            <w:r>
              <w:rPr>
                <w:rFonts w:ascii="仿宋_GB2312" w:hAnsi="仿宋_GB2312" w:cs="仿宋_GB2312" w:eastAsia="仿宋_GB2312"/>
                <w:sz w:val="28"/>
              </w:rPr>
              <w:t>林分主要为天然中幼龄林和人工中幼龄林，成林树种主要为栎类、落叶松和硬阔等树种。抚育林分郁闭度在</w:t>
            </w:r>
            <w:r>
              <w:rPr>
                <w:rFonts w:ascii="仿宋_GB2312" w:hAnsi="仿宋_GB2312" w:cs="仿宋_GB2312" w:eastAsia="仿宋_GB2312"/>
                <w:sz w:val="28"/>
              </w:rPr>
              <w:t>0.6～0.85，抚育林分胸径在14cm～21cm。</w:t>
            </w:r>
          </w:p>
          <w:p>
            <w:pPr>
              <w:pStyle w:val="null3"/>
              <w:ind w:firstLine="576"/>
              <w:jc w:val="both"/>
            </w:pPr>
            <w:r>
              <w:rPr>
                <w:rFonts w:ascii="仿宋_GB2312" w:hAnsi="仿宋_GB2312" w:cs="仿宋_GB2312" w:eastAsia="仿宋_GB2312"/>
                <w:sz w:val="28"/>
              </w:rPr>
              <w:t>根据调查和计算，汉中市南郑区</w:t>
            </w:r>
            <w:r>
              <w:rPr>
                <w:rFonts w:ascii="仿宋_GB2312" w:hAnsi="仿宋_GB2312" w:cs="仿宋_GB2312" w:eastAsia="仿宋_GB2312"/>
                <w:sz w:val="28"/>
              </w:rPr>
              <w:t>2025</w:t>
            </w:r>
            <w:r>
              <w:rPr>
                <w:rFonts w:ascii="仿宋_GB2312" w:hAnsi="仿宋_GB2312" w:cs="仿宋_GB2312" w:eastAsia="仿宋_GB2312"/>
                <w:sz w:val="28"/>
              </w:rPr>
              <w:t>年中央财政林业改革发展资金其他国土绿化项目</w:t>
            </w:r>
            <w:r>
              <w:rPr>
                <w:rFonts w:ascii="仿宋_GB2312" w:hAnsi="仿宋_GB2312" w:cs="仿宋_GB2312" w:eastAsia="仿宋_GB2312"/>
                <w:sz w:val="28"/>
              </w:rPr>
              <w:t>林分林下灌木盖度在</w:t>
            </w:r>
            <w:r>
              <w:rPr>
                <w:rFonts w:ascii="仿宋_GB2312" w:hAnsi="仿宋_GB2312" w:cs="仿宋_GB2312" w:eastAsia="仿宋_GB2312"/>
                <w:sz w:val="28"/>
              </w:rPr>
              <w:t>12%～16%，灌木平均高度在20cm～45cm。</w:t>
            </w:r>
          </w:p>
          <w:p>
            <w:pPr>
              <w:pStyle w:val="null3"/>
              <w:spacing w:before="135"/>
              <w:ind w:left="30" w:firstLine="600"/>
              <w:jc w:val="both"/>
            </w:pPr>
            <w:r>
              <w:rPr>
                <w:rFonts w:ascii="仿宋_GB2312" w:hAnsi="仿宋_GB2312" w:cs="仿宋_GB2312" w:eastAsia="仿宋_GB2312"/>
                <w:sz w:val="27"/>
                <w:b/>
              </w:rPr>
              <w:t>1</w:t>
            </w:r>
            <w:r>
              <w:rPr>
                <w:rFonts w:ascii="仿宋_GB2312" w:hAnsi="仿宋_GB2312" w:cs="仿宋_GB2312" w:eastAsia="仿宋_GB2312"/>
                <w:sz w:val="27"/>
                <w:b/>
              </w:rPr>
              <w:t>.4.2</w:t>
            </w:r>
            <w:r>
              <w:rPr>
                <w:rFonts w:ascii="仿宋_GB2312" w:hAnsi="仿宋_GB2312" w:cs="仿宋_GB2312" w:eastAsia="仿宋_GB2312"/>
                <w:sz w:val="27"/>
                <w:b/>
              </w:rPr>
              <w:t>抚育作业区林分天然更新状况分析</w:t>
            </w:r>
          </w:p>
          <w:p>
            <w:pPr>
              <w:pStyle w:val="null3"/>
              <w:ind w:firstLine="576"/>
              <w:jc w:val="both"/>
            </w:pPr>
            <w:r>
              <w:rPr>
                <w:rFonts w:ascii="仿宋_GB2312" w:hAnsi="仿宋_GB2312" w:cs="仿宋_GB2312" w:eastAsia="仿宋_GB2312"/>
                <w:sz w:val="28"/>
              </w:rPr>
              <w:t>根据调查，汉中市南郑区</w:t>
            </w:r>
            <w:r>
              <w:rPr>
                <w:rFonts w:ascii="仿宋_GB2312" w:hAnsi="仿宋_GB2312" w:cs="仿宋_GB2312" w:eastAsia="仿宋_GB2312"/>
                <w:sz w:val="28"/>
              </w:rPr>
              <w:t>2025</w:t>
            </w:r>
            <w:r>
              <w:rPr>
                <w:rFonts w:ascii="仿宋_GB2312" w:hAnsi="仿宋_GB2312" w:cs="仿宋_GB2312" w:eastAsia="仿宋_GB2312"/>
                <w:sz w:val="28"/>
              </w:rPr>
              <w:t>年中央财政林业改革发展资金其他国土绿化项目</w:t>
            </w:r>
            <w:r>
              <w:rPr>
                <w:rFonts w:ascii="仿宋_GB2312" w:hAnsi="仿宋_GB2312" w:cs="仿宋_GB2312" w:eastAsia="仿宋_GB2312"/>
                <w:sz w:val="28"/>
              </w:rPr>
              <w:t>抚育作业区林分林下总体天然更新状况中等，因此，在抚育作业过程中，应对林下更新幼树幼苗的予以保护，对于影响林下更新的一般灌木应尽量予以清除，并进行人工补栽，以促进天然更新。</w:t>
            </w:r>
          </w:p>
          <w:p>
            <w:pPr>
              <w:pStyle w:val="null3"/>
              <w:spacing w:before="135"/>
              <w:ind w:left="30" w:firstLine="600"/>
              <w:jc w:val="both"/>
            </w:pPr>
            <w:r>
              <w:rPr>
                <w:rFonts w:ascii="仿宋_GB2312" w:hAnsi="仿宋_GB2312" w:cs="仿宋_GB2312" w:eastAsia="仿宋_GB2312"/>
                <w:sz w:val="27"/>
                <w:b/>
              </w:rPr>
              <w:t>1</w:t>
            </w:r>
            <w:r>
              <w:rPr>
                <w:rFonts w:ascii="仿宋_GB2312" w:hAnsi="仿宋_GB2312" w:cs="仿宋_GB2312" w:eastAsia="仿宋_GB2312"/>
                <w:sz w:val="27"/>
                <w:b/>
              </w:rPr>
              <w:t>.4.3</w:t>
            </w:r>
            <w:r>
              <w:rPr>
                <w:rFonts w:ascii="仿宋_GB2312" w:hAnsi="仿宋_GB2312" w:cs="仿宋_GB2312" w:eastAsia="仿宋_GB2312"/>
                <w:sz w:val="27"/>
                <w:b/>
              </w:rPr>
              <w:t>抚育作业区地形条件分析</w:t>
            </w:r>
          </w:p>
          <w:p>
            <w:pPr>
              <w:pStyle w:val="null3"/>
              <w:ind w:firstLine="576"/>
              <w:jc w:val="both"/>
            </w:pPr>
            <w:r>
              <w:rPr>
                <w:rFonts w:ascii="仿宋_GB2312" w:hAnsi="仿宋_GB2312" w:cs="仿宋_GB2312" w:eastAsia="仿宋_GB2312"/>
                <w:sz w:val="28"/>
              </w:rPr>
              <w:t>汉中市南郑区</w:t>
            </w:r>
            <w:r>
              <w:rPr>
                <w:rFonts w:ascii="仿宋_GB2312" w:hAnsi="仿宋_GB2312" w:cs="仿宋_GB2312" w:eastAsia="仿宋_GB2312"/>
                <w:sz w:val="28"/>
              </w:rPr>
              <w:t>2025</w:t>
            </w:r>
            <w:r>
              <w:rPr>
                <w:rFonts w:ascii="仿宋_GB2312" w:hAnsi="仿宋_GB2312" w:cs="仿宋_GB2312" w:eastAsia="仿宋_GB2312"/>
                <w:sz w:val="28"/>
              </w:rPr>
              <w:t>年中央财政林业改革发展资金其他国土绿化项目</w:t>
            </w:r>
            <w:r>
              <w:rPr>
                <w:rFonts w:ascii="仿宋_GB2312" w:hAnsi="仿宋_GB2312" w:cs="仿宋_GB2312" w:eastAsia="仿宋_GB2312"/>
                <w:sz w:val="28"/>
              </w:rPr>
              <w:t>抚育作业区总体地形坡度较陡，这不仅增加了抚育作业的难度，而且也增加了抚育作业的不安全因素，因此，抚育作业一定要加强施工人员的安全教育工作，同时，对于坡度较大，灌木稀疏，对目的树种生长无影响的灌木应尽量予以保留，以防止水土流失的发生。</w:t>
            </w:r>
          </w:p>
          <w:p>
            <w:pPr>
              <w:pStyle w:val="null3"/>
              <w:numPr>
                <w:ilvl w:val="0"/>
                <w:numId w:val="1"/>
              </w:numPr>
            </w:pPr>
            <w:r>
              <w:rPr>
                <w:rFonts w:ascii="仿宋_GB2312" w:hAnsi="仿宋_GB2312" w:cs="仿宋_GB2312" w:eastAsia="仿宋_GB2312"/>
                <w:sz w:val="28"/>
                <w:b/>
              </w:rPr>
              <w:t>二</w:t>
            </w:r>
            <w:r>
              <w:rPr>
                <w:rFonts w:ascii="仿宋_GB2312" w:hAnsi="仿宋_GB2312" w:cs="仿宋_GB2312" w:eastAsia="仿宋_GB2312"/>
                <w:sz w:val="28"/>
              </w:rPr>
              <w:t>、</w:t>
            </w:r>
            <w:r>
              <w:rPr>
                <w:rFonts w:ascii="仿宋_GB2312" w:hAnsi="仿宋_GB2312" w:cs="仿宋_GB2312" w:eastAsia="仿宋_GB2312"/>
                <w:sz w:val="28"/>
                <w:b/>
              </w:rPr>
              <w:t>作业内容</w:t>
            </w:r>
          </w:p>
          <w:p>
            <w:pPr>
              <w:pStyle w:val="null3"/>
              <w:jc w:val="left"/>
              <w:outlineLvl w:val="1"/>
            </w:pPr>
            <w:r>
              <w:rPr>
                <w:rFonts w:ascii="仿宋_GB2312" w:hAnsi="仿宋_GB2312" w:cs="仿宋_GB2312" w:eastAsia="仿宋_GB2312"/>
                <w:sz w:val="28"/>
                <w:b/>
              </w:rPr>
              <w:t>1</w:t>
            </w: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抚育设计</w:t>
            </w:r>
          </w:p>
          <w:p>
            <w:pPr>
              <w:pStyle w:val="null3"/>
              <w:ind w:firstLine="576"/>
              <w:jc w:val="both"/>
            </w:pPr>
            <w:r>
              <w:rPr>
                <w:rFonts w:ascii="仿宋_GB2312" w:hAnsi="仿宋_GB2312" w:cs="仿宋_GB2312" w:eastAsia="仿宋_GB2312"/>
                <w:sz w:val="28"/>
              </w:rPr>
              <w:t>根据作业区林分起源、林龄、郁闭度、树种组成、林分状况等因子，结合各小班立地类型特点、树种生物学特性以及实际现状特点，突出森林抚育的原则，因地制宜，适地适树，合理配置，从而精准确定小班抚育方式，主要抚育方式为疏伐、生长伐、割灌、补植补栽等组合的综合抚育。</w:t>
            </w:r>
          </w:p>
          <w:p>
            <w:pPr>
              <w:pStyle w:val="null3"/>
              <w:jc w:val="left"/>
              <w:outlineLvl w:val="1"/>
            </w:pPr>
            <w:r>
              <w:rPr>
                <w:rFonts w:ascii="仿宋_GB2312" w:hAnsi="仿宋_GB2312" w:cs="仿宋_GB2312" w:eastAsia="仿宋_GB2312"/>
                <w:sz w:val="28"/>
                <w:b/>
              </w:rPr>
              <w:t>1</w:t>
            </w:r>
            <w:r>
              <w:rPr>
                <w:rFonts w:ascii="仿宋_GB2312" w:hAnsi="仿宋_GB2312" w:cs="仿宋_GB2312" w:eastAsia="仿宋_GB2312"/>
                <w:sz w:val="28"/>
                <w:b/>
              </w:rPr>
              <w:t>.</w:t>
            </w:r>
            <w:r>
              <w:rPr>
                <w:rFonts w:ascii="仿宋_GB2312" w:hAnsi="仿宋_GB2312" w:cs="仿宋_GB2312" w:eastAsia="仿宋_GB2312"/>
                <w:sz w:val="28"/>
                <w:b/>
              </w:rPr>
              <w:t>2</w:t>
            </w:r>
            <w:r>
              <w:rPr>
                <w:rFonts w:ascii="仿宋_GB2312" w:hAnsi="仿宋_GB2312" w:cs="仿宋_GB2312" w:eastAsia="仿宋_GB2312"/>
                <w:sz w:val="28"/>
                <w:b/>
              </w:rPr>
              <w:t>抚育方式</w:t>
            </w:r>
            <w:r>
              <w:rPr>
                <w:rFonts w:ascii="仿宋_GB2312" w:hAnsi="仿宋_GB2312" w:cs="仿宋_GB2312" w:eastAsia="仿宋_GB2312"/>
                <w:sz w:val="28"/>
                <w:b/>
              </w:rPr>
              <w:t>设计</w:t>
            </w:r>
          </w:p>
          <w:p>
            <w:pPr>
              <w:pStyle w:val="null3"/>
              <w:ind w:firstLine="576"/>
              <w:jc w:val="both"/>
            </w:pPr>
            <w:r>
              <w:rPr>
                <w:rFonts w:ascii="仿宋_GB2312" w:hAnsi="仿宋_GB2312" w:cs="仿宋_GB2312" w:eastAsia="仿宋_GB2312"/>
                <w:sz w:val="28"/>
              </w:rPr>
              <w:t>抚育主要措施有抚育采伐、割灌、补植，具体措施设计如下：</w:t>
            </w:r>
          </w:p>
          <w:p>
            <w:pPr>
              <w:pStyle w:val="null3"/>
              <w:jc w:val="both"/>
            </w:pPr>
            <w:r>
              <w:rPr>
                <w:rFonts w:ascii="仿宋_GB2312" w:hAnsi="仿宋_GB2312" w:cs="仿宋_GB2312" w:eastAsia="仿宋_GB2312"/>
                <w:sz w:val="28"/>
                <w:b/>
              </w:rPr>
              <w:t>1.2.1抚育采伐</w:t>
            </w:r>
          </w:p>
          <w:p>
            <w:pPr>
              <w:pStyle w:val="null3"/>
              <w:ind w:firstLine="576"/>
              <w:jc w:val="both"/>
            </w:pPr>
            <w:r>
              <w:rPr>
                <w:rFonts w:ascii="仿宋_GB2312" w:hAnsi="仿宋_GB2312" w:cs="仿宋_GB2312" w:eastAsia="仿宋_GB2312"/>
                <w:sz w:val="28"/>
              </w:rPr>
              <w:t>汉中市南郑区</w:t>
            </w:r>
            <w:r>
              <w:rPr>
                <w:rFonts w:ascii="仿宋_GB2312" w:hAnsi="仿宋_GB2312" w:cs="仿宋_GB2312" w:eastAsia="仿宋_GB2312"/>
                <w:sz w:val="28"/>
              </w:rPr>
              <w:t>2025</w:t>
            </w:r>
            <w:r>
              <w:rPr>
                <w:rFonts w:ascii="仿宋_GB2312" w:hAnsi="仿宋_GB2312" w:cs="仿宋_GB2312" w:eastAsia="仿宋_GB2312"/>
                <w:sz w:val="28"/>
              </w:rPr>
              <w:t>年中央财政林业改革发展资金其他国土绿化项目</w:t>
            </w:r>
            <w:r>
              <w:rPr>
                <w:rFonts w:ascii="仿宋_GB2312" w:hAnsi="仿宋_GB2312" w:cs="仿宋_GB2312" w:eastAsia="仿宋_GB2312"/>
                <w:sz w:val="28"/>
              </w:rPr>
              <w:t>抚育采伐主要</w:t>
            </w:r>
            <w:r>
              <w:rPr>
                <w:rFonts w:ascii="仿宋_GB2312" w:hAnsi="仿宋_GB2312" w:cs="仿宋_GB2312" w:eastAsia="仿宋_GB2312"/>
                <w:sz w:val="28"/>
              </w:rPr>
              <w:t>为疏伐和生长伐</w:t>
            </w:r>
            <w:r>
              <w:rPr>
                <w:rFonts w:ascii="仿宋_GB2312" w:hAnsi="仿宋_GB2312" w:cs="仿宋_GB2312" w:eastAsia="仿宋_GB2312"/>
                <w:sz w:val="28"/>
              </w:rPr>
              <w:t>。</w:t>
            </w:r>
          </w:p>
          <w:p>
            <w:pPr>
              <w:pStyle w:val="null3"/>
              <w:ind w:firstLine="576"/>
              <w:jc w:val="both"/>
            </w:pPr>
            <w:r>
              <w:rPr>
                <w:rFonts w:ascii="仿宋_GB2312" w:hAnsi="仿宋_GB2312" w:cs="仿宋_GB2312" w:eastAsia="仿宋_GB2312"/>
                <w:sz w:val="28"/>
              </w:rPr>
              <w:t>根据汉中市南郑区</w:t>
            </w:r>
            <w:r>
              <w:rPr>
                <w:rFonts w:ascii="仿宋_GB2312" w:hAnsi="仿宋_GB2312" w:cs="仿宋_GB2312" w:eastAsia="仿宋_GB2312"/>
                <w:sz w:val="28"/>
              </w:rPr>
              <w:t>2025</w:t>
            </w:r>
            <w:r>
              <w:rPr>
                <w:rFonts w:ascii="仿宋_GB2312" w:hAnsi="仿宋_GB2312" w:cs="仿宋_GB2312" w:eastAsia="仿宋_GB2312"/>
                <w:sz w:val="28"/>
              </w:rPr>
              <w:t>年中央财政林业改革发展资金其他国土绿化项目</w:t>
            </w:r>
            <w:r>
              <w:rPr>
                <w:rFonts w:ascii="仿宋_GB2312" w:hAnsi="仿宋_GB2312" w:cs="仿宋_GB2312" w:eastAsia="仿宋_GB2312"/>
                <w:sz w:val="28"/>
              </w:rPr>
              <w:t>作业区抚育林分类型特点，各林分类型标准地调查资料以及该林场近</w:t>
            </w:r>
            <w:r>
              <w:rPr>
                <w:rFonts w:ascii="仿宋_GB2312" w:hAnsi="仿宋_GB2312" w:cs="仿宋_GB2312" w:eastAsia="仿宋_GB2312"/>
                <w:sz w:val="28"/>
              </w:rPr>
              <w:t>10年各林分平均生长量，通过综合分析确定蓄积采伐强度。对于天然中龄林采用补植+生长伐+割灌。对于人工中幼龄林采用补植+疏伐+割灌。</w:t>
            </w:r>
          </w:p>
          <w:p>
            <w:pPr>
              <w:pStyle w:val="null3"/>
              <w:ind w:firstLine="576"/>
              <w:jc w:val="both"/>
            </w:pPr>
            <w:r>
              <w:rPr>
                <w:rFonts w:ascii="仿宋_GB2312" w:hAnsi="仿宋_GB2312" w:cs="仿宋_GB2312" w:eastAsia="仿宋_GB2312"/>
                <w:sz w:val="28"/>
              </w:rPr>
              <w:t>汉中市南郑区</w:t>
            </w:r>
            <w:r>
              <w:rPr>
                <w:rFonts w:ascii="仿宋_GB2312" w:hAnsi="仿宋_GB2312" w:cs="仿宋_GB2312" w:eastAsia="仿宋_GB2312"/>
                <w:sz w:val="28"/>
              </w:rPr>
              <w:t>2025</w:t>
            </w:r>
            <w:r>
              <w:rPr>
                <w:rFonts w:ascii="仿宋_GB2312" w:hAnsi="仿宋_GB2312" w:cs="仿宋_GB2312" w:eastAsia="仿宋_GB2312"/>
                <w:sz w:val="28"/>
              </w:rPr>
              <w:t>年中央财政林业改革发展资金其他国土绿化项目</w:t>
            </w:r>
            <w:r>
              <w:rPr>
                <w:rFonts w:ascii="仿宋_GB2312" w:hAnsi="仿宋_GB2312" w:cs="仿宋_GB2312" w:eastAsia="仿宋_GB2312"/>
                <w:sz w:val="28"/>
              </w:rPr>
              <w:t>作业总面积</w:t>
            </w:r>
            <w:r>
              <w:rPr>
                <w:rFonts w:ascii="仿宋_GB2312" w:hAnsi="仿宋_GB2312" w:cs="仿宋_GB2312" w:eastAsia="仿宋_GB2312"/>
                <w:sz w:val="28"/>
              </w:rPr>
              <w:t>9300.0亩，项目共计采伐各类树种10472株，采伐总蓄积6337m</w:t>
            </w:r>
            <w:r>
              <w:rPr>
                <w:rFonts w:ascii="仿宋_GB2312" w:hAnsi="仿宋_GB2312" w:cs="仿宋_GB2312" w:eastAsia="仿宋_GB2312"/>
                <w:sz w:val="28"/>
                <w:vertAlign w:val="superscript"/>
              </w:rPr>
              <w:t>3</w:t>
            </w:r>
            <w:r>
              <w:rPr>
                <w:rFonts w:ascii="仿宋_GB2312" w:hAnsi="仿宋_GB2312" w:cs="仿宋_GB2312" w:eastAsia="仿宋_GB2312"/>
                <w:sz w:val="28"/>
              </w:rPr>
              <w:t>。</w:t>
            </w:r>
          </w:p>
          <w:p>
            <w:pPr>
              <w:pStyle w:val="null3"/>
              <w:ind w:firstLine="576"/>
              <w:jc w:val="both"/>
            </w:pPr>
            <w:r>
              <w:rPr>
                <w:rFonts w:ascii="仿宋_GB2312" w:hAnsi="仿宋_GB2312" w:cs="仿宋_GB2312" w:eastAsia="仿宋_GB2312"/>
                <w:sz w:val="28"/>
              </w:rPr>
              <w:t>1、疏伐</w:t>
            </w:r>
          </w:p>
          <w:p>
            <w:pPr>
              <w:pStyle w:val="null3"/>
              <w:ind w:firstLine="576"/>
              <w:jc w:val="both"/>
            </w:pPr>
            <w:r>
              <w:rPr>
                <w:rFonts w:ascii="仿宋_GB2312" w:hAnsi="仿宋_GB2312" w:cs="仿宋_GB2312" w:eastAsia="仿宋_GB2312"/>
                <w:sz w:val="28"/>
              </w:rPr>
              <w:t>疏伐抚育后的林分应当达到以下要求：</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1）林分郁闭度不低于0.6；</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2）林分目的树种和辅助树种的林木株数所占林分总株数的比例不减少；</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3）林分目的树种平均胸径不低于采伐前平均胸径；</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4）林木分布均匀，不造成林窗、林中空地等；</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5）林木株数不少于该森林类型、生长发育阶段、立地条件的最低保留株数。</w:t>
            </w:r>
          </w:p>
          <w:p>
            <w:pPr>
              <w:pStyle w:val="null3"/>
              <w:ind w:firstLine="576"/>
              <w:jc w:val="both"/>
            </w:pPr>
            <w:r>
              <w:rPr>
                <w:rFonts w:ascii="仿宋_GB2312" w:hAnsi="仿宋_GB2312" w:cs="仿宋_GB2312" w:eastAsia="仿宋_GB2312"/>
                <w:sz w:val="28"/>
              </w:rPr>
              <w:t>2、生长伐抚育后的林分应当达到以下要求：</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1）林分郁闭度不低于0.6；</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2）林分目标树数量，或Ⅰ级木、Ⅱ级木数量不减少；</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3）林分平均胸径不低于采伐前平均胸径；</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4）林木分布均匀，不造成林窗、林中空地等。对于天然林，如果出现林窗或林中空地则应进行补植；</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5）林木株数不少于该森林类型、生长发育阶段、立地条件的最低保留株数。</w:t>
            </w:r>
          </w:p>
          <w:p>
            <w:pPr>
              <w:pStyle w:val="null3"/>
              <w:ind w:firstLine="576"/>
              <w:jc w:val="both"/>
            </w:pPr>
            <w:r>
              <w:rPr>
                <w:rFonts w:ascii="仿宋_GB2312" w:hAnsi="仿宋_GB2312" w:cs="仿宋_GB2312" w:eastAsia="仿宋_GB2312"/>
                <w:sz w:val="28"/>
              </w:rPr>
              <w:t>3、采伐技术</w:t>
            </w:r>
          </w:p>
          <w:p>
            <w:pPr>
              <w:pStyle w:val="null3"/>
              <w:ind w:firstLine="576"/>
              <w:jc w:val="both"/>
            </w:pPr>
            <w:r>
              <w:rPr>
                <w:rFonts w:ascii="仿宋_GB2312" w:hAnsi="仿宋_GB2312" w:cs="仿宋_GB2312" w:eastAsia="仿宋_GB2312"/>
                <w:sz w:val="28"/>
              </w:rPr>
              <w:t>根据《森林采伐作业规程》等操作规程执行。抚育小班都需要进行定向培育，除保留木和其他有保留价值的树种以外，其它生长不良的树种、单株在不影响生态环境的情况下都需要砍伐，为目标树留下生长空间。同时间伐纯林、过密林、丛生树等影响目标树种健康生长树种。其具体方式、强度依据各小班林分状况作业设计为准。</w:t>
            </w:r>
          </w:p>
          <w:p>
            <w:pPr>
              <w:pStyle w:val="null3"/>
              <w:ind w:firstLine="576"/>
              <w:jc w:val="both"/>
            </w:pPr>
            <w:r>
              <w:rPr>
                <w:rFonts w:ascii="仿宋_GB2312" w:hAnsi="仿宋_GB2312" w:cs="仿宋_GB2312" w:eastAsia="仿宋_GB2312"/>
                <w:sz w:val="28"/>
              </w:rPr>
              <w:t>针对抚育作业区内现有苗木分布密度不均的情况，在正式施工作业前，由培训合格的施工班组技术人员进行青山检尺工作，在</w:t>
            </w:r>
            <w:r>
              <w:rPr>
                <w:rFonts w:ascii="仿宋_GB2312" w:hAnsi="仿宋_GB2312" w:cs="仿宋_GB2312" w:eastAsia="仿宋_GB2312"/>
                <w:sz w:val="28"/>
              </w:rPr>
              <w:t>“保大伐小、存优去劣”的原则下，具体情况具体确定，按先标号后砍伐的方法对需间伐的非建设目标木、密度过大区域、病死枯树、散（丛）生木等树木予以标记，按照安全方便的原则，由专业间伐队伍人员有顺序地间伐工作。原则上，对目前长势良好、径级较大的目标树种（如巴山松、华山松、杨树、栎类等）尽可能保留作为优良采种母树，仅进行抚育等。</w:t>
            </w:r>
          </w:p>
          <w:p>
            <w:pPr>
              <w:pStyle w:val="null3"/>
              <w:ind w:firstLine="576"/>
              <w:jc w:val="both"/>
            </w:pPr>
            <w:r>
              <w:rPr>
                <w:rFonts w:ascii="仿宋_GB2312" w:hAnsi="仿宋_GB2312" w:cs="仿宋_GB2312" w:eastAsia="仿宋_GB2312"/>
                <w:sz w:val="28"/>
              </w:rPr>
              <w:t>伐后及时将可利用的木材运出林分，并清理采伐剩余物。采伐剩余物可按一定间距均匀堆放在林内处理。对于采伐感染林业检疫性有害生物及林业补充检疫性有害生物的林木、剩余物等，全部清理出林分，集中烧毁，或集中深埋。</w:t>
            </w:r>
          </w:p>
          <w:p>
            <w:pPr>
              <w:pStyle w:val="null3"/>
              <w:ind w:firstLine="576"/>
              <w:jc w:val="both"/>
            </w:pPr>
            <w:r>
              <w:rPr>
                <w:rFonts w:ascii="仿宋_GB2312" w:hAnsi="仿宋_GB2312" w:cs="仿宋_GB2312" w:eastAsia="仿宋_GB2312"/>
                <w:sz w:val="28"/>
              </w:rPr>
              <w:t>分叉树处理：针对需保留但目前分叉生长的目标树，原则上保留直径较大的树干，在分叉处将另一根支干平整锯断，并统一长短，并在创口处涂抹防腐剂，保留主干部分。</w:t>
            </w:r>
          </w:p>
          <w:p>
            <w:pPr>
              <w:pStyle w:val="null3"/>
              <w:ind w:firstLine="576"/>
              <w:jc w:val="both"/>
            </w:pPr>
            <w:r>
              <w:rPr>
                <w:rFonts w:ascii="仿宋_GB2312" w:hAnsi="仿宋_GB2312" w:cs="仿宋_GB2312" w:eastAsia="仿宋_GB2312"/>
                <w:sz w:val="28"/>
              </w:rPr>
              <w:t>采伐时避免采伐</w:t>
            </w:r>
            <w:r>
              <w:rPr>
                <w:rFonts w:ascii="仿宋_GB2312" w:hAnsi="仿宋_GB2312" w:cs="仿宋_GB2312" w:eastAsia="仿宋_GB2312"/>
                <w:sz w:val="28"/>
              </w:rPr>
              <w:t>“目标树”、要严格做到“砍小留大，砍劣留优、砍密留疏”，严禁“拔大毛”或单纯以取材为目的，避免过伐、滥伐，注意保留“生态目标树”。</w:t>
            </w:r>
          </w:p>
          <w:p>
            <w:pPr>
              <w:pStyle w:val="null3"/>
              <w:ind w:firstLine="576"/>
              <w:jc w:val="both"/>
            </w:pPr>
            <w:r>
              <w:rPr>
                <w:rFonts w:ascii="仿宋_GB2312" w:hAnsi="仿宋_GB2312" w:cs="仿宋_GB2312" w:eastAsia="仿宋_GB2312"/>
                <w:sz w:val="28"/>
              </w:rPr>
              <w:t>采伐工艺：选择原木工艺类型，即采伐木标记、伐木、打枝、造材、集材、清林等。</w:t>
            </w:r>
          </w:p>
          <w:p>
            <w:pPr>
              <w:pStyle w:val="null3"/>
              <w:ind w:firstLine="576"/>
              <w:jc w:val="both"/>
            </w:pPr>
            <w:r>
              <w:rPr>
                <w:rFonts w:ascii="仿宋_GB2312" w:hAnsi="仿宋_GB2312" w:cs="仿宋_GB2312" w:eastAsia="仿宋_GB2312"/>
                <w:sz w:val="28"/>
              </w:rPr>
              <w:t>标记：技术人员对伐区内需采伐的立木进行标号。</w:t>
            </w:r>
          </w:p>
          <w:p>
            <w:pPr>
              <w:pStyle w:val="null3"/>
              <w:ind w:firstLine="576"/>
              <w:jc w:val="both"/>
            </w:pPr>
            <w:r>
              <w:rPr>
                <w:rFonts w:ascii="仿宋_GB2312" w:hAnsi="仿宋_GB2312" w:cs="仿宋_GB2312" w:eastAsia="仿宋_GB2312"/>
                <w:sz w:val="28"/>
              </w:rPr>
              <w:t>伐木：人工操作油锯伐木，严格控制树倒方向，保证工人安全；伐桩高度不得超过</w:t>
            </w:r>
            <w:r>
              <w:rPr>
                <w:rFonts w:ascii="仿宋_GB2312" w:hAnsi="仿宋_GB2312" w:cs="仿宋_GB2312" w:eastAsia="仿宋_GB2312"/>
                <w:sz w:val="28"/>
              </w:rPr>
              <w:t>5cm；不得损伤保留木。</w:t>
            </w:r>
          </w:p>
          <w:p>
            <w:pPr>
              <w:pStyle w:val="null3"/>
              <w:ind w:firstLine="576"/>
              <w:jc w:val="both"/>
            </w:pPr>
            <w:r>
              <w:rPr>
                <w:rFonts w:ascii="仿宋_GB2312" w:hAnsi="仿宋_GB2312" w:cs="仿宋_GB2312" w:eastAsia="仿宋_GB2312"/>
                <w:sz w:val="28"/>
              </w:rPr>
              <w:t>打枝：采伐木伐倒后，用弯刀或小斧修枝，不能逆向修枝。</w:t>
            </w:r>
          </w:p>
          <w:p>
            <w:pPr>
              <w:pStyle w:val="null3"/>
              <w:ind w:firstLine="576"/>
              <w:jc w:val="both"/>
            </w:pPr>
            <w:r>
              <w:rPr>
                <w:rFonts w:ascii="仿宋_GB2312" w:hAnsi="仿宋_GB2312" w:cs="仿宋_GB2312" w:eastAsia="仿宋_GB2312"/>
                <w:sz w:val="28"/>
              </w:rPr>
              <w:t>造材：人工操作截锯进行原木造材。</w:t>
            </w:r>
          </w:p>
          <w:p>
            <w:pPr>
              <w:pStyle w:val="null3"/>
              <w:ind w:firstLine="576"/>
              <w:jc w:val="both"/>
            </w:pPr>
            <w:r>
              <w:rPr>
                <w:rFonts w:ascii="仿宋_GB2312" w:hAnsi="仿宋_GB2312" w:cs="仿宋_GB2312" w:eastAsia="仿宋_GB2312"/>
                <w:sz w:val="28"/>
              </w:rPr>
              <w:t>集材：采用人工集材。</w:t>
            </w:r>
          </w:p>
          <w:p>
            <w:pPr>
              <w:pStyle w:val="null3"/>
              <w:ind w:firstLine="576"/>
              <w:jc w:val="both"/>
            </w:pPr>
            <w:r>
              <w:rPr>
                <w:rFonts w:ascii="仿宋_GB2312" w:hAnsi="仿宋_GB2312" w:cs="仿宋_GB2312" w:eastAsia="仿宋_GB2312"/>
                <w:sz w:val="28"/>
              </w:rPr>
              <w:t>原木检尺：在临时楞场上的木材堆积好后，技术人员立即进行原木检尺（包括规格材和非规格材），并进行登记填表。</w:t>
            </w:r>
          </w:p>
          <w:p>
            <w:pPr>
              <w:pStyle w:val="null3"/>
              <w:ind w:firstLine="576"/>
              <w:jc w:val="both"/>
            </w:pPr>
            <w:r>
              <w:rPr>
                <w:rFonts w:ascii="仿宋_GB2312" w:hAnsi="仿宋_GB2312" w:cs="仿宋_GB2312" w:eastAsia="仿宋_GB2312"/>
                <w:sz w:val="28"/>
                <w:b/>
              </w:rPr>
              <w:t>1.2.2割灌</w:t>
            </w:r>
          </w:p>
          <w:p>
            <w:pPr>
              <w:pStyle w:val="null3"/>
              <w:ind w:firstLine="576"/>
              <w:jc w:val="both"/>
            </w:pPr>
            <w:r>
              <w:rPr>
                <w:rFonts w:ascii="仿宋_GB2312" w:hAnsi="仿宋_GB2312" w:cs="仿宋_GB2312" w:eastAsia="仿宋_GB2312"/>
                <w:sz w:val="28"/>
              </w:rPr>
              <w:t>汉中市南郑区</w:t>
            </w:r>
            <w:r>
              <w:rPr>
                <w:rFonts w:ascii="仿宋_GB2312" w:hAnsi="仿宋_GB2312" w:cs="仿宋_GB2312" w:eastAsia="仿宋_GB2312"/>
                <w:sz w:val="28"/>
              </w:rPr>
              <w:t>2025</w:t>
            </w:r>
            <w:r>
              <w:rPr>
                <w:rFonts w:ascii="仿宋_GB2312" w:hAnsi="仿宋_GB2312" w:cs="仿宋_GB2312" w:eastAsia="仿宋_GB2312"/>
                <w:sz w:val="28"/>
              </w:rPr>
              <w:t>年中央财政林业改革发展资金其他国土绿化项目</w:t>
            </w:r>
            <w:r>
              <w:rPr>
                <w:rFonts w:ascii="仿宋_GB2312" w:hAnsi="仿宋_GB2312" w:cs="仿宋_GB2312" w:eastAsia="仿宋_GB2312"/>
                <w:sz w:val="28"/>
              </w:rPr>
              <w:t>割灌面积</w:t>
            </w:r>
            <w:r>
              <w:rPr>
                <w:rFonts w:ascii="仿宋_GB2312" w:hAnsi="仿宋_GB2312" w:cs="仿宋_GB2312" w:eastAsia="仿宋_GB2312"/>
                <w:sz w:val="28"/>
              </w:rPr>
              <w:t>9300.0亩。</w:t>
            </w:r>
          </w:p>
          <w:p>
            <w:pPr>
              <w:pStyle w:val="null3"/>
              <w:ind w:firstLine="576"/>
              <w:jc w:val="both"/>
            </w:pPr>
            <w:r>
              <w:rPr>
                <w:rFonts w:ascii="仿宋_GB2312" w:hAnsi="仿宋_GB2312" w:cs="仿宋_GB2312" w:eastAsia="仿宋_GB2312"/>
                <w:sz w:val="28"/>
              </w:rPr>
              <w:t>对象：下木生长旺盛、与林木生长争水争肥严重的中龄林中进行。清除妨碍林木、幼树、幼苗生长的灌木、藤条和杂草。</w:t>
            </w:r>
          </w:p>
          <w:p>
            <w:pPr>
              <w:pStyle w:val="null3"/>
              <w:ind w:firstLine="576"/>
              <w:jc w:val="both"/>
            </w:pPr>
            <w:r>
              <w:rPr>
                <w:rFonts w:ascii="仿宋_GB2312" w:hAnsi="仿宋_GB2312" w:cs="仿宋_GB2312" w:eastAsia="仿宋_GB2312"/>
                <w:sz w:val="28"/>
              </w:rPr>
              <w:t>方式：针对目标树受冠藤杂草影响的林分，对于影响树木生长的幼树、幼苗、藤条、杂草等杂灌木，原则上胸径五厘米以下的杂灌全部清除，但长势良好的目标树种幼树、幼苗及生态脆弱处（如岩石堆上）的杂灌可适当保留。对于影响保留目标树生长的杂竹，适当清理至不影响树木生长即可。</w:t>
            </w:r>
          </w:p>
          <w:p>
            <w:pPr>
              <w:pStyle w:val="null3"/>
              <w:ind w:firstLine="576"/>
              <w:jc w:val="both"/>
            </w:pPr>
            <w:r>
              <w:rPr>
                <w:rFonts w:ascii="仿宋_GB2312" w:hAnsi="仿宋_GB2312" w:cs="仿宋_GB2312" w:eastAsia="仿宋_GB2312"/>
                <w:sz w:val="28"/>
              </w:rPr>
              <w:t>方法：采用人工、机械割灌方法，不采用化学割灌方式。</w:t>
            </w:r>
          </w:p>
          <w:p>
            <w:pPr>
              <w:pStyle w:val="null3"/>
              <w:ind w:firstLine="576"/>
              <w:jc w:val="both"/>
            </w:pPr>
            <w:r>
              <w:rPr>
                <w:rFonts w:ascii="仿宋_GB2312" w:hAnsi="仿宋_GB2312" w:cs="仿宋_GB2312" w:eastAsia="仿宋_GB2312"/>
                <w:sz w:val="28"/>
              </w:rPr>
              <w:t>技术要求：作业时，应保护林地上的珍稀濒危树木及有培育潜力树种的幼树、幼苗，以利于调整林分结构和密度。</w:t>
            </w:r>
          </w:p>
          <w:p>
            <w:pPr>
              <w:pStyle w:val="null3"/>
              <w:ind w:firstLine="576"/>
              <w:jc w:val="both"/>
            </w:pPr>
            <w:r>
              <w:rPr>
                <w:rFonts w:ascii="仿宋_GB2312" w:hAnsi="仿宋_GB2312" w:cs="仿宋_GB2312" w:eastAsia="仿宋_GB2312"/>
                <w:sz w:val="28"/>
                <w:b/>
              </w:rPr>
              <w:t>1.2.3补植补栽</w:t>
            </w:r>
          </w:p>
          <w:p>
            <w:pPr>
              <w:pStyle w:val="null3"/>
              <w:ind w:firstLine="576"/>
              <w:jc w:val="both"/>
            </w:pPr>
            <w:r>
              <w:rPr>
                <w:rFonts w:ascii="仿宋_GB2312" w:hAnsi="仿宋_GB2312" w:cs="仿宋_GB2312" w:eastAsia="仿宋_GB2312"/>
                <w:sz w:val="28"/>
              </w:rPr>
              <w:t>汉中市南郑区</w:t>
            </w:r>
            <w:r>
              <w:rPr>
                <w:rFonts w:ascii="仿宋_GB2312" w:hAnsi="仿宋_GB2312" w:cs="仿宋_GB2312" w:eastAsia="仿宋_GB2312"/>
                <w:sz w:val="28"/>
              </w:rPr>
              <w:t>2025</w:t>
            </w:r>
            <w:r>
              <w:rPr>
                <w:rFonts w:ascii="仿宋_GB2312" w:hAnsi="仿宋_GB2312" w:cs="仿宋_GB2312" w:eastAsia="仿宋_GB2312"/>
                <w:sz w:val="28"/>
              </w:rPr>
              <w:t>年中央财政林业改革发展资金其他国土绿化项目</w:t>
            </w:r>
            <w:r>
              <w:rPr>
                <w:rFonts w:ascii="仿宋_GB2312" w:hAnsi="仿宋_GB2312" w:cs="仿宋_GB2312" w:eastAsia="仿宋_GB2312"/>
                <w:sz w:val="28"/>
              </w:rPr>
              <w:t>补植面积</w:t>
            </w:r>
            <w:r>
              <w:rPr>
                <w:rFonts w:ascii="仿宋_GB2312" w:hAnsi="仿宋_GB2312" w:cs="仿宋_GB2312" w:eastAsia="仿宋_GB2312"/>
                <w:sz w:val="28"/>
              </w:rPr>
              <w:t>758.5亩，共计补植树种18511株。</w:t>
            </w:r>
          </w:p>
          <w:p>
            <w:pPr>
              <w:pStyle w:val="null3"/>
              <w:ind w:firstLine="576"/>
              <w:jc w:val="both"/>
            </w:pPr>
            <w:r>
              <w:rPr>
                <w:rFonts w:ascii="仿宋_GB2312" w:hAnsi="仿宋_GB2312" w:cs="仿宋_GB2312" w:eastAsia="仿宋_GB2312"/>
                <w:sz w:val="28"/>
              </w:rPr>
              <w:t>1、树种选择</w:t>
            </w:r>
          </w:p>
          <w:p>
            <w:pPr>
              <w:pStyle w:val="null3"/>
              <w:ind w:firstLine="576"/>
              <w:jc w:val="both"/>
            </w:pPr>
            <w:r>
              <w:rPr>
                <w:rFonts w:ascii="仿宋_GB2312" w:hAnsi="仿宋_GB2312" w:cs="仿宋_GB2312" w:eastAsia="仿宋_GB2312"/>
                <w:sz w:val="28"/>
              </w:rPr>
              <w:t>根据项目区水热条件和树种的生态学特征，选择与地立地条件相适应的树种。</w:t>
            </w:r>
          </w:p>
          <w:p>
            <w:pPr>
              <w:pStyle w:val="null3"/>
              <w:ind w:firstLine="576"/>
              <w:jc w:val="both"/>
            </w:pPr>
            <w:r>
              <w:rPr>
                <w:rFonts w:ascii="仿宋_GB2312" w:hAnsi="仿宋_GB2312" w:cs="仿宋_GB2312" w:eastAsia="仿宋_GB2312"/>
                <w:sz w:val="28"/>
              </w:rPr>
              <w:t>根据森林主导功能选择适合于经营目标的树种。</w:t>
            </w:r>
          </w:p>
          <w:p>
            <w:pPr>
              <w:pStyle w:val="null3"/>
              <w:ind w:firstLine="576"/>
              <w:jc w:val="both"/>
            </w:pPr>
            <w:r>
              <w:rPr>
                <w:rFonts w:ascii="仿宋_GB2312" w:hAnsi="仿宋_GB2312" w:cs="仿宋_GB2312" w:eastAsia="仿宋_GB2312"/>
                <w:sz w:val="28"/>
              </w:rPr>
              <w:t>适地适树的原则，优先选择优良乡土树种。</w:t>
            </w:r>
          </w:p>
          <w:p>
            <w:pPr>
              <w:pStyle w:val="null3"/>
              <w:ind w:firstLine="576"/>
              <w:jc w:val="both"/>
            </w:pPr>
            <w:r>
              <w:rPr>
                <w:rFonts w:ascii="仿宋_GB2312" w:hAnsi="仿宋_GB2312" w:cs="仿宋_GB2312" w:eastAsia="仿宋_GB2312"/>
                <w:sz w:val="28"/>
              </w:rPr>
              <w:t>根据项目区造林地的立地条件，为保证森林质量提升效果，根据适地适树的原则，确定项目区补植树种为云杉。</w:t>
            </w:r>
          </w:p>
          <w:p>
            <w:pPr>
              <w:pStyle w:val="null3"/>
              <w:ind w:firstLine="576"/>
              <w:jc w:val="both"/>
            </w:pPr>
            <w:r>
              <w:rPr>
                <w:rFonts w:ascii="仿宋_GB2312" w:hAnsi="仿宋_GB2312" w:cs="仿宋_GB2312" w:eastAsia="仿宋_GB2312"/>
                <w:sz w:val="28"/>
              </w:rPr>
              <w:t>云杉：地径</w:t>
            </w:r>
            <w:r>
              <w:rPr>
                <w:rFonts w:ascii="仿宋_GB2312" w:hAnsi="仿宋_GB2312" w:cs="仿宋_GB2312" w:eastAsia="仿宋_GB2312"/>
                <w:sz w:val="28"/>
              </w:rPr>
              <w:t>≥0.8cm，苗高≥60cm，根长≥20cm，两年生裸根苗；</w:t>
            </w:r>
          </w:p>
          <w:p>
            <w:pPr>
              <w:pStyle w:val="null3"/>
              <w:ind w:firstLine="576"/>
              <w:jc w:val="both"/>
            </w:pPr>
            <w:r>
              <w:rPr>
                <w:rFonts w:ascii="仿宋_GB2312" w:hAnsi="仿宋_GB2312" w:cs="仿宋_GB2312" w:eastAsia="仿宋_GB2312"/>
                <w:sz w:val="28"/>
              </w:rPr>
              <w:t>2、补植设计</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1）整地</w:t>
            </w:r>
          </w:p>
          <w:p>
            <w:pPr>
              <w:pStyle w:val="null3"/>
              <w:ind w:firstLine="576"/>
              <w:jc w:val="both"/>
            </w:pPr>
            <w:r>
              <w:rPr>
                <w:rFonts w:ascii="仿宋_GB2312" w:hAnsi="仿宋_GB2312" w:cs="仿宋_GB2312" w:eastAsia="仿宋_GB2312"/>
                <w:sz w:val="28"/>
              </w:rPr>
              <w:t>整地方式：穴状整地。</w:t>
            </w:r>
          </w:p>
          <w:p>
            <w:pPr>
              <w:pStyle w:val="null3"/>
              <w:ind w:firstLine="576"/>
              <w:jc w:val="both"/>
            </w:pPr>
            <w:r>
              <w:rPr>
                <w:rFonts w:ascii="仿宋_GB2312" w:hAnsi="仿宋_GB2312" w:cs="仿宋_GB2312" w:eastAsia="仿宋_GB2312"/>
                <w:sz w:val="28"/>
              </w:rPr>
              <w:t>整地规格：小苗种植穴规格为</w:t>
            </w:r>
            <w:r>
              <w:rPr>
                <w:rFonts w:ascii="仿宋_GB2312" w:hAnsi="仿宋_GB2312" w:cs="仿宋_GB2312" w:eastAsia="仿宋_GB2312"/>
                <w:sz w:val="28"/>
              </w:rPr>
              <w:t>50cm×40cm×30cm。</w:t>
            </w:r>
          </w:p>
          <w:p>
            <w:pPr>
              <w:pStyle w:val="null3"/>
              <w:ind w:firstLine="576"/>
              <w:jc w:val="both"/>
            </w:pPr>
            <w:r>
              <w:rPr>
                <w:rFonts w:ascii="仿宋_GB2312" w:hAnsi="仿宋_GB2312" w:cs="仿宋_GB2312" w:eastAsia="仿宋_GB2312"/>
                <w:sz w:val="28"/>
              </w:rPr>
              <w:t>整地方式：整地时，将表土与底土分开堆放，回填时，先回表土，再回底（心）土，再在坑的外缘用生土环状围成高</w:t>
            </w:r>
            <w:r>
              <w:rPr>
                <w:rFonts w:ascii="仿宋_GB2312" w:hAnsi="仿宋_GB2312" w:cs="仿宋_GB2312" w:eastAsia="仿宋_GB2312"/>
                <w:sz w:val="28"/>
              </w:rPr>
              <w:t>20cm的土埂形成树池便于集水。整地在种植前的1个月进行。整地过程中，应注意保护好地块中保留的原有植被，以防止水土流失。</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2）配置方式</w:t>
            </w:r>
          </w:p>
          <w:p>
            <w:pPr>
              <w:pStyle w:val="null3"/>
              <w:ind w:firstLine="576"/>
              <w:jc w:val="both"/>
            </w:pPr>
            <w:r>
              <w:rPr>
                <w:rFonts w:ascii="仿宋_GB2312" w:hAnsi="仿宋_GB2312" w:cs="仿宋_GB2312" w:eastAsia="仿宋_GB2312"/>
                <w:sz w:val="28"/>
              </w:rPr>
              <w:t>配置方式：采用自然配置，依据林间空地情况配置补植点。</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3）栽植技术</w:t>
            </w:r>
          </w:p>
          <w:p>
            <w:pPr>
              <w:pStyle w:val="null3"/>
              <w:ind w:firstLine="576"/>
              <w:jc w:val="both"/>
            </w:pPr>
            <w:r>
              <w:rPr>
                <w:rFonts w:ascii="仿宋_GB2312" w:hAnsi="仿宋_GB2312" w:cs="仿宋_GB2312" w:eastAsia="仿宋_GB2312"/>
                <w:sz w:val="28"/>
              </w:rPr>
              <w:t>栽植时间：</w:t>
            </w:r>
            <w:r>
              <w:rPr>
                <w:rFonts w:ascii="仿宋_GB2312" w:hAnsi="仿宋_GB2312" w:cs="仿宋_GB2312" w:eastAsia="仿宋_GB2312"/>
                <w:sz w:val="28"/>
              </w:rPr>
              <w:t>2025年栽植。</w:t>
            </w:r>
          </w:p>
          <w:p>
            <w:pPr>
              <w:pStyle w:val="null3"/>
              <w:ind w:firstLine="576"/>
              <w:jc w:val="both"/>
            </w:pPr>
            <w:r>
              <w:rPr>
                <w:rFonts w:ascii="仿宋_GB2312" w:hAnsi="仿宋_GB2312" w:cs="仿宋_GB2312" w:eastAsia="仿宋_GB2312"/>
                <w:sz w:val="28"/>
              </w:rPr>
              <w:t>栽植方式：全部采用人工植苗造林。</w:t>
            </w:r>
          </w:p>
          <w:p>
            <w:pPr>
              <w:pStyle w:val="null3"/>
              <w:ind w:firstLine="576"/>
              <w:jc w:val="both"/>
            </w:pPr>
            <w:r>
              <w:rPr>
                <w:rFonts w:ascii="仿宋_GB2312" w:hAnsi="仿宋_GB2312" w:cs="仿宋_GB2312" w:eastAsia="仿宋_GB2312"/>
                <w:sz w:val="28"/>
              </w:rPr>
              <w:t>种苗处理：为了保持苗木体内水分平衡，栽植前应对苗木进行必要的处理，栽植前根据不同树种、苗木特点和土壤墒情，对苗木进行剪梢、剪侧枝、修根、苗根浸水、蘸泥浆等处理。</w:t>
            </w:r>
          </w:p>
          <w:p>
            <w:pPr>
              <w:pStyle w:val="null3"/>
              <w:ind w:firstLine="576"/>
              <w:jc w:val="both"/>
            </w:pPr>
            <w:r>
              <w:rPr>
                <w:rFonts w:ascii="仿宋_GB2312" w:hAnsi="仿宋_GB2312" w:cs="仿宋_GB2312" w:eastAsia="仿宋_GB2312"/>
                <w:sz w:val="28"/>
              </w:rPr>
              <w:t>栽植方法：栽植前先回填表土，垫至离地面</w:t>
            </w:r>
            <w:r>
              <w:rPr>
                <w:rFonts w:ascii="仿宋_GB2312" w:hAnsi="仿宋_GB2312" w:cs="仿宋_GB2312" w:eastAsia="仿宋_GB2312"/>
                <w:sz w:val="28"/>
              </w:rPr>
              <w:t>30～35cm处，把苗木垂直放入穴中，将表土填入穴内，填到2/3时将苗木轻轻上提，使根系舒展，再在表面回一层松土，覆土高出苗木原土痕10cm左右，踩实后浇水，复虚土，可采用ABT生根粉、保水剂沾根，防止水分蒸发。栽植技术要领：“三埋两踩一提苗”扶正、栽直、分层填土、轻提苗木、分层压实，使苗木根系与土壤接触密实，栽后具备灌溉条件的区域进行局部灌溉，水渗后扶正苗木，培土封穴。</w:t>
            </w:r>
          </w:p>
          <w:p>
            <w:pPr>
              <w:pStyle w:val="null3"/>
              <w:ind w:firstLine="576"/>
              <w:jc w:val="both"/>
            </w:pPr>
            <w:r>
              <w:rPr>
                <w:rFonts w:ascii="仿宋_GB2312" w:hAnsi="仿宋_GB2312" w:cs="仿宋_GB2312" w:eastAsia="仿宋_GB2312"/>
                <w:sz w:val="28"/>
              </w:rPr>
              <w:t>3、补植苗木抚育管护</w:t>
            </w:r>
          </w:p>
          <w:p>
            <w:pPr>
              <w:pStyle w:val="null3"/>
              <w:ind w:firstLine="576"/>
              <w:jc w:val="both"/>
            </w:pPr>
            <w:r>
              <w:rPr>
                <w:rFonts w:ascii="仿宋_GB2312" w:hAnsi="仿宋_GB2312" w:cs="仿宋_GB2312" w:eastAsia="仿宋_GB2312"/>
                <w:sz w:val="28"/>
              </w:rPr>
              <w:t>抚育的主要内容是松土、补植、林业有害生物防治等。</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1）松土</w:t>
            </w:r>
          </w:p>
          <w:p>
            <w:pPr>
              <w:pStyle w:val="null3"/>
              <w:ind w:firstLine="576"/>
              <w:jc w:val="both"/>
            </w:pPr>
            <w:r>
              <w:rPr>
                <w:rFonts w:ascii="仿宋_GB2312" w:hAnsi="仿宋_GB2312" w:cs="仿宋_GB2312" w:eastAsia="仿宋_GB2312"/>
                <w:sz w:val="28"/>
              </w:rPr>
              <w:t>松土要做到</w:t>
            </w:r>
            <w:r>
              <w:rPr>
                <w:rFonts w:ascii="仿宋_GB2312" w:hAnsi="仿宋_GB2312" w:cs="仿宋_GB2312" w:eastAsia="仿宋_GB2312"/>
                <w:sz w:val="28"/>
              </w:rPr>
              <w:t>“三不伤、二干净、一培土”，即不伤根、不伤皮、不伤树梢；杂草除干净、石块捡干净；把除松的土培到根际，并把除掉的杂草覆盖到树根附近，以减少水分蒸发和增加有机质。松土深度要适当，做到里浅外深，造林后第一年浅，以后逐年加深。发现病、虫、鼠、兔等林业有害生物要及时进行防治。造林后要及时进行松土，与扶苗、培土等结合进行。对穴外影响幼树生长的杂草及时清除。一般距苗木10cm左右下锄，深度3～5cm里浅外深。幼树10cm周围内的杂草用手除掉。</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2）保墒</w:t>
            </w:r>
          </w:p>
          <w:p>
            <w:pPr>
              <w:pStyle w:val="null3"/>
              <w:ind w:firstLine="576"/>
              <w:jc w:val="both"/>
            </w:pPr>
            <w:r>
              <w:rPr>
                <w:rFonts w:ascii="仿宋_GB2312" w:hAnsi="仿宋_GB2312" w:cs="仿宋_GB2312" w:eastAsia="仿宋_GB2312"/>
                <w:sz w:val="28"/>
              </w:rPr>
              <w:t>栽植后管护期内每年入春及入冬时节对项目区有灌溉条件区域进行浇一次水，防止春旱。造林后可以采用在造林地上覆草或覆地膜，并在草或地膜上压盖少许土（防止起火）的方法，保持土壤墒情。造林后一周内进行一次扶正踏实，对栽植过浅的苗木进行培土。</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3）补植</w:t>
            </w:r>
          </w:p>
          <w:p>
            <w:pPr>
              <w:pStyle w:val="null3"/>
              <w:ind w:firstLine="576"/>
              <w:jc w:val="both"/>
            </w:pPr>
            <w:r>
              <w:rPr>
                <w:rFonts w:ascii="仿宋_GB2312" w:hAnsi="仿宋_GB2312" w:cs="仿宋_GB2312" w:eastAsia="仿宋_GB2312"/>
                <w:sz w:val="28"/>
              </w:rPr>
              <w:t>造林后应定期检查苗木存活情况，及时对死亡苗木进行补植。一般春季造林，当年秋季补植，秋季造林翌年春季补植。养护期满，保存率要求达到</w:t>
            </w:r>
            <w:r>
              <w:rPr>
                <w:rFonts w:ascii="仿宋_GB2312" w:hAnsi="仿宋_GB2312" w:cs="仿宋_GB2312" w:eastAsia="仿宋_GB2312"/>
                <w:sz w:val="28"/>
              </w:rPr>
              <w:t>80%以上。</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4）病虫害防治</w:t>
            </w:r>
          </w:p>
          <w:p>
            <w:pPr>
              <w:pStyle w:val="null3"/>
              <w:ind w:firstLine="576"/>
              <w:jc w:val="both"/>
            </w:pPr>
            <w:r>
              <w:rPr>
                <w:rFonts w:ascii="仿宋_GB2312" w:hAnsi="仿宋_GB2312" w:cs="仿宋_GB2312" w:eastAsia="仿宋_GB2312"/>
                <w:sz w:val="28"/>
              </w:rPr>
              <w:t>病虫害防治应坚持</w:t>
            </w:r>
            <w:r>
              <w:rPr>
                <w:rFonts w:ascii="仿宋_GB2312" w:hAnsi="仿宋_GB2312" w:cs="仿宋_GB2312" w:eastAsia="仿宋_GB2312"/>
                <w:sz w:val="28"/>
              </w:rPr>
              <w:t>“预防为主、综合治理”的原则。通过合理施肥、修剪来增强树势，提高树木的抵抗力。病虫害防治积极采用物理防治措施与生物防治措施，尽量减少化学农药的施用。必须采用化学防治时，应选用低残留、低污染农药，并严格控制用量。</w:t>
            </w:r>
          </w:p>
          <w:p>
            <w:pPr>
              <w:pStyle w:val="null3"/>
              <w:ind w:firstLine="576"/>
              <w:jc w:val="both"/>
            </w:pPr>
            <w:r>
              <w:rPr>
                <w:rFonts w:ascii="仿宋_GB2312" w:hAnsi="仿宋_GB2312" w:cs="仿宋_GB2312" w:eastAsia="仿宋_GB2312"/>
                <w:sz w:val="28"/>
              </w:rPr>
              <w:t>（</w:t>
            </w:r>
            <w:r>
              <w:rPr>
                <w:rFonts w:ascii="仿宋_GB2312" w:hAnsi="仿宋_GB2312" w:cs="仿宋_GB2312" w:eastAsia="仿宋_GB2312"/>
                <w:sz w:val="28"/>
              </w:rPr>
              <w:t>4）幼树修剪整形</w:t>
            </w:r>
          </w:p>
          <w:p>
            <w:pPr>
              <w:pStyle w:val="null3"/>
              <w:ind w:firstLine="576"/>
              <w:jc w:val="both"/>
            </w:pPr>
            <w:r>
              <w:rPr>
                <w:rFonts w:ascii="仿宋_GB2312" w:hAnsi="仿宋_GB2312" w:cs="仿宋_GB2312" w:eastAsia="仿宋_GB2312"/>
                <w:sz w:val="28"/>
              </w:rPr>
              <w:t>主要除去树冠下部已枯死或濒临枯死的枝条及部分活枝。在技术上，修枝时节最好在树液停止流动或开始流动之前的冬、春季进行。对病虫害树种修剪时除去病虫害枝条，并集中烧毁。</w:t>
            </w:r>
          </w:p>
          <w:p>
            <w:pPr>
              <w:pStyle w:val="null3"/>
              <w:jc w:val="left"/>
              <w:outlineLvl w:val="1"/>
            </w:pPr>
            <w:r>
              <w:rPr>
                <w:rFonts w:ascii="仿宋_GB2312" w:hAnsi="仿宋_GB2312" w:cs="仿宋_GB2312" w:eastAsia="仿宋_GB2312"/>
                <w:sz w:val="28"/>
                <w:b/>
              </w:rPr>
              <w:t>1</w:t>
            </w:r>
            <w:r>
              <w:rPr>
                <w:rFonts w:ascii="仿宋_GB2312" w:hAnsi="仿宋_GB2312" w:cs="仿宋_GB2312" w:eastAsia="仿宋_GB2312"/>
                <w:sz w:val="28"/>
                <w:b/>
              </w:rPr>
              <w:t>.</w:t>
            </w:r>
            <w:r>
              <w:rPr>
                <w:rFonts w:ascii="仿宋_GB2312" w:hAnsi="仿宋_GB2312" w:cs="仿宋_GB2312" w:eastAsia="仿宋_GB2312"/>
                <w:sz w:val="28"/>
                <w:b/>
              </w:rPr>
              <w:t>3</w:t>
            </w:r>
            <w:r>
              <w:rPr>
                <w:rFonts w:ascii="仿宋_GB2312" w:hAnsi="仿宋_GB2312" w:cs="仿宋_GB2312" w:eastAsia="仿宋_GB2312"/>
                <w:sz w:val="28"/>
                <w:b/>
              </w:rPr>
              <w:t>种苗方案</w:t>
            </w:r>
          </w:p>
          <w:p>
            <w:pPr>
              <w:pStyle w:val="null3"/>
              <w:spacing w:before="105"/>
              <w:ind w:left="30" w:firstLine="600"/>
              <w:jc w:val="both"/>
            </w:pPr>
            <w:r>
              <w:rPr>
                <w:rFonts w:ascii="仿宋_GB2312" w:hAnsi="仿宋_GB2312" w:cs="仿宋_GB2312" w:eastAsia="仿宋_GB2312"/>
                <w:sz w:val="27"/>
                <w:b/>
              </w:rPr>
              <w:t>1</w:t>
            </w:r>
            <w:r>
              <w:rPr>
                <w:rFonts w:ascii="仿宋_GB2312" w:hAnsi="仿宋_GB2312" w:cs="仿宋_GB2312" w:eastAsia="仿宋_GB2312"/>
                <w:sz w:val="27"/>
                <w:b/>
              </w:rPr>
              <w:t>.</w:t>
            </w:r>
            <w:r>
              <w:rPr>
                <w:rFonts w:ascii="仿宋_GB2312" w:hAnsi="仿宋_GB2312" w:cs="仿宋_GB2312" w:eastAsia="仿宋_GB2312"/>
                <w:sz w:val="27"/>
                <w:b/>
              </w:rPr>
              <w:t>3</w:t>
            </w:r>
            <w:r>
              <w:rPr>
                <w:rFonts w:ascii="仿宋_GB2312" w:hAnsi="仿宋_GB2312" w:cs="仿宋_GB2312" w:eastAsia="仿宋_GB2312"/>
                <w:sz w:val="27"/>
                <w:b/>
              </w:rPr>
              <w:t>.1</w:t>
            </w:r>
            <w:r>
              <w:rPr>
                <w:rFonts w:ascii="仿宋_GB2312" w:hAnsi="仿宋_GB2312" w:cs="仿宋_GB2312" w:eastAsia="仿宋_GB2312"/>
                <w:sz w:val="27"/>
                <w:b/>
              </w:rPr>
              <w:t>苗木来源</w:t>
            </w:r>
          </w:p>
          <w:p>
            <w:pPr>
              <w:pStyle w:val="null3"/>
              <w:ind w:firstLine="576"/>
              <w:jc w:val="both"/>
            </w:pPr>
            <w:r>
              <w:rPr>
                <w:rFonts w:ascii="仿宋_GB2312" w:hAnsi="仿宋_GB2312" w:cs="仿宋_GB2312" w:eastAsia="仿宋_GB2312"/>
                <w:sz w:val="28"/>
              </w:rPr>
              <w:t>森林修复所需苗木原则上全部采用南郑区本地获经工商注册信誉良好的苗圃苗木，本地苗源不足需经外地采购时，选择气候条件、立地条件相近的城固、勉县、洋县等地区苗木。</w:t>
            </w:r>
          </w:p>
          <w:p>
            <w:pPr>
              <w:pStyle w:val="null3"/>
              <w:spacing w:before="135"/>
              <w:ind w:left="30" w:firstLine="600"/>
              <w:jc w:val="both"/>
            </w:pPr>
            <w:r>
              <w:rPr>
                <w:rFonts w:ascii="仿宋_GB2312" w:hAnsi="仿宋_GB2312" w:cs="仿宋_GB2312" w:eastAsia="仿宋_GB2312"/>
                <w:sz w:val="27"/>
                <w:b/>
              </w:rPr>
              <w:t>1</w:t>
            </w:r>
            <w:r>
              <w:rPr>
                <w:rFonts w:ascii="仿宋_GB2312" w:hAnsi="仿宋_GB2312" w:cs="仿宋_GB2312" w:eastAsia="仿宋_GB2312"/>
                <w:sz w:val="27"/>
                <w:b/>
              </w:rPr>
              <w:t>.</w:t>
            </w:r>
            <w:r>
              <w:rPr>
                <w:rFonts w:ascii="仿宋_GB2312" w:hAnsi="仿宋_GB2312" w:cs="仿宋_GB2312" w:eastAsia="仿宋_GB2312"/>
                <w:sz w:val="27"/>
                <w:b/>
              </w:rPr>
              <w:t>3</w:t>
            </w:r>
            <w:r>
              <w:rPr>
                <w:rFonts w:ascii="仿宋_GB2312" w:hAnsi="仿宋_GB2312" w:cs="仿宋_GB2312" w:eastAsia="仿宋_GB2312"/>
                <w:sz w:val="27"/>
                <w:b/>
              </w:rPr>
              <w:t>.2</w:t>
            </w:r>
            <w:r>
              <w:rPr>
                <w:rFonts w:ascii="仿宋_GB2312" w:hAnsi="仿宋_GB2312" w:cs="仿宋_GB2312" w:eastAsia="仿宋_GB2312"/>
                <w:sz w:val="27"/>
                <w:b/>
              </w:rPr>
              <w:t>苗木质量</w:t>
            </w:r>
          </w:p>
          <w:p>
            <w:pPr>
              <w:pStyle w:val="null3"/>
              <w:ind w:firstLine="576"/>
              <w:jc w:val="both"/>
            </w:pPr>
            <w:r>
              <w:rPr>
                <w:rFonts w:ascii="仿宋_GB2312" w:hAnsi="仿宋_GB2312" w:cs="仿宋_GB2312" w:eastAsia="仿宋_GB2312"/>
                <w:sz w:val="28"/>
              </w:rPr>
              <w:t>苗木质量符合《主要造林树种苗木质量分级》（</w:t>
            </w:r>
            <w:r>
              <w:rPr>
                <w:rFonts w:ascii="仿宋_GB2312" w:hAnsi="仿宋_GB2312" w:cs="仿宋_GB2312" w:eastAsia="仿宋_GB2312"/>
                <w:sz w:val="28"/>
              </w:rPr>
              <w:t>DB61/T378-2006）标准要求的Ⅱ级及以上的优质苗木。苗木“两证一签”（即苗木检验证、苗木检疫证、苗木产地标签）齐全，苗木规格具体标准如下：</w:t>
            </w:r>
          </w:p>
          <w:p>
            <w:pPr>
              <w:pStyle w:val="null3"/>
            </w:pPr>
            <w:r>
              <w:rPr>
                <w:rFonts w:ascii="仿宋_GB2312" w:hAnsi="仿宋_GB2312" w:cs="仿宋_GB2312" w:eastAsia="仿宋_GB2312"/>
                <w:sz w:val="28"/>
              </w:rPr>
              <w:t>表</w:t>
            </w:r>
            <w:r>
              <w:rPr>
                <w:rFonts w:ascii="仿宋_GB2312" w:hAnsi="仿宋_GB2312" w:cs="仿宋_GB2312" w:eastAsia="仿宋_GB2312"/>
                <w:sz w:val="28"/>
              </w:rPr>
              <w:t>6-1苗木质量标准表</w:t>
            </w:r>
          </w:p>
          <w:tbl>
            <w:tblPr>
              <w:tblInd w:type="dxa" w:w="120"/>
              <w:tblBorders>
                <w:top w:val="none" w:color="000000" w:sz="4"/>
                <w:left w:val="none" w:color="000000" w:sz="4"/>
                <w:bottom w:val="none" w:color="000000" w:sz="4"/>
                <w:right w:val="none" w:color="000000" w:sz="4"/>
                <w:insideH w:val="none"/>
                <w:insideV w:val="none"/>
              </w:tblBorders>
            </w:tblPr>
            <w:tblGrid>
              <w:gridCol w:w="295"/>
              <w:gridCol w:w="350"/>
              <w:gridCol w:w="221"/>
              <w:gridCol w:w="304"/>
              <w:gridCol w:w="304"/>
              <w:gridCol w:w="304"/>
              <w:gridCol w:w="766"/>
            </w:tblGrid>
            <w:tr>
              <w:tc>
                <w:tcPr>
                  <w:tcW w:type="dxa" w:w="295"/>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ind w:firstLine="576"/>
                    <w:jc w:val="center"/>
                  </w:pPr>
                  <w:r>
                    <w:rPr>
                      <w:rFonts w:ascii="仿宋_GB2312" w:hAnsi="仿宋_GB2312" w:cs="仿宋_GB2312" w:eastAsia="仿宋_GB2312"/>
                      <w:sz w:val="28"/>
                    </w:rPr>
                    <w:t>树种</w:t>
                  </w:r>
                </w:p>
              </w:tc>
              <w:tc>
                <w:tcPr>
                  <w:tcW w:type="dxa" w:w="350"/>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ind w:firstLine="576"/>
                    <w:jc w:val="center"/>
                  </w:pPr>
                  <w:r>
                    <w:rPr>
                      <w:rFonts w:ascii="仿宋_GB2312" w:hAnsi="仿宋_GB2312" w:cs="仿宋_GB2312" w:eastAsia="仿宋_GB2312"/>
                      <w:sz w:val="28"/>
                    </w:rPr>
                    <w:t>苗木种类</w:t>
                  </w:r>
                </w:p>
              </w:tc>
              <w:tc>
                <w:tcPr>
                  <w:tcW w:type="dxa" w:w="1133"/>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规格</w:t>
                  </w:r>
                </w:p>
              </w:tc>
              <w:tc>
                <w:tcPr>
                  <w:tcW w:type="dxa" w:w="766"/>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ind w:firstLine="576"/>
                    <w:jc w:val="center"/>
                  </w:pPr>
                  <w:r>
                    <w:rPr>
                      <w:rFonts w:ascii="仿宋_GB2312" w:hAnsi="仿宋_GB2312" w:cs="仿宋_GB2312" w:eastAsia="仿宋_GB2312"/>
                      <w:sz w:val="28"/>
                    </w:rPr>
                    <w:t>综合控制指标</w:t>
                  </w:r>
                </w:p>
              </w:tc>
            </w:tr>
            <w:tr>
              <w:tc>
                <w:tcPr>
                  <w:tcW w:type="dxa" w:w="295"/>
                  <w:vMerge/>
                  <w:tcBorders>
                    <w:top w:val="single" w:color="000000" w:sz="4"/>
                    <w:left w:val="single" w:color="000000" w:sz="4"/>
                    <w:bottom w:val="none" w:color="000000" w:sz="4"/>
                    <w:right w:val="single" w:color="000000" w:sz="4"/>
                  </w:tcBorders>
                </w:tcPr>
                <w:p/>
              </w:tc>
              <w:tc>
                <w:tcPr>
                  <w:tcW w:type="dxa" w:w="350"/>
                  <w:vMerge/>
                  <w:tcBorders>
                    <w:top w:val="single" w:color="000000" w:sz="4"/>
                    <w:left w:val="single" w:color="000000" w:sz="4"/>
                    <w:bottom w:val="none" w:color="000000" w:sz="4"/>
                    <w:right w:val="single" w:color="000000" w:sz="4"/>
                  </w:tcBorders>
                </w:tcPr>
                <w:p/>
              </w:tc>
              <w:tc>
                <w:tcPr>
                  <w:tcW w:type="dxa" w:w="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苗龄</w:t>
                  </w:r>
                </w:p>
              </w:tc>
              <w:tc>
                <w:tcPr>
                  <w:tcW w:type="dxa" w:w="3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地径</w:t>
                  </w:r>
                </w:p>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cm）</w:t>
                  </w:r>
                </w:p>
              </w:tc>
              <w:tc>
                <w:tcPr>
                  <w:tcW w:type="dxa" w:w="3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苗高</w:t>
                  </w:r>
                </w:p>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cm）</w:t>
                  </w:r>
                </w:p>
              </w:tc>
              <w:tc>
                <w:tcPr>
                  <w:tcW w:type="dxa" w:w="3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根长</w:t>
                  </w:r>
                </w:p>
                <w:p>
                  <w:pPr>
                    <w:pStyle w:val="null3"/>
                    <w:jc w:val="center"/>
                  </w:pPr>
                  <w:r>
                    <w:rPr>
                      <w:rFonts w:ascii="仿宋_GB2312" w:hAnsi="仿宋_GB2312" w:cs="仿宋_GB2312" w:eastAsia="仿宋_GB2312"/>
                      <w:sz w:val="28"/>
                    </w:rPr>
                    <w:t>(cm)</w:t>
                  </w:r>
                </w:p>
              </w:tc>
              <w:tc>
                <w:tcPr>
                  <w:tcW w:type="dxa" w:w="766"/>
                  <w:vMerge/>
                  <w:tcBorders>
                    <w:top w:val="single" w:color="000000" w:sz="4"/>
                    <w:left w:val="single" w:color="000000" w:sz="4"/>
                    <w:bottom w:val="none" w:color="000000" w:sz="4"/>
                    <w:right w:val="single" w:color="000000" w:sz="4"/>
                  </w:tcBorders>
                </w:tcPr>
                <w:p/>
              </w:tc>
            </w:tr>
            <w:tr>
              <w:tc>
                <w:tcPr>
                  <w:tcW w:type="dxa" w:w="2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576"/>
                    <w:jc w:val="center"/>
                  </w:pPr>
                  <w:r>
                    <w:rPr>
                      <w:rFonts w:ascii="仿宋_GB2312" w:hAnsi="仿宋_GB2312" w:cs="仿宋_GB2312" w:eastAsia="仿宋_GB2312"/>
                      <w:sz w:val="28"/>
                    </w:rPr>
                    <w:t>云杉</w:t>
                  </w:r>
                </w:p>
              </w:tc>
              <w:tc>
                <w:tcPr>
                  <w:tcW w:type="dxa" w:w="3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576"/>
                    <w:jc w:val="center"/>
                  </w:pPr>
                  <w:r>
                    <w:rPr>
                      <w:rFonts w:ascii="仿宋_GB2312" w:hAnsi="仿宋_GB2312" w:cs="仿宋_GB2312" w:eastAsia="仿宋_GB2312"/>
                      <w:sz w:val="28"/>
                    </w:rPr>
                    <w:t>裸根苗</w:t>
                  </w:r>
                </w:p>
              </w:tc>
              <w:tc>
                <w:tcPr>
                  <w:tcW w:type="dxa" w:w="2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576"/>
                    <w:jc w:val="center"/>
                  </w:pPr>
                  <w:r>
                    <w:rPr>
                      <w:rFonts w:ascii="仿宋_GB2312" w:hAnsi="仿宋_GB2312" w:cs="仿宋_GB2312" w:eastAsia="仿宋_GB2312"/>
                      <w:sz w:val="28"/>
                    </w:rPr>
                    <w:t>3</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576"/>
                    <w:jc w:val="center"/>
                  </w:pPr>
                  <w:r>
                    <w:rPr>
                      <w:rFonts w:ascii="仿宋_GB2312" w:hAnsi="仿宋_GB2312" w:cs="仿宋_GB2312" w:eastAsia="仿宋_GB2312"/>
                      <w:sz w:val="28"/>
                    </w:rPr>
                    <w:t>≥0.8</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576"/>
                    <w:jc w:val="center"/>
                  </w:pPr>
                  <w:r>
                    <w:rPr>
                      <w:rFonts w:ascii="仿宋_GB2312" w:hAnsi="仿宋_GB2312" w:cs="仿宋_GB2312" w:eastAsia="仿宋_GB2312"/>
                      <w:sz w:val="28"/>
                    </w:rPr>
                    <w:t>≥60</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576"/>
                    <w:jc w:val="center"/>
                  </w:pPr>
                  <w:r>
                    <w:rPr>
                      <w:rFonts w:ascii="仿宋_GB2312" w:hAnsi="仿宋_GB2312" w:cs="仿宋_GB2312" w:eastAsia="仿宋_GB2312"/>
                      <w:sz w:val="28"/>
                    </w:rPr>
                    <w:t>≥20</w:t>
                  </w:r>
                </w:p>
              </w:tc>
              <w:tc>
                <w:tcPr>
                  <w:tcW w:type="dxa" w:w="7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无检疫对象病虫害，苗干通直，色泽正常，充分木质化，无机械损伤</w:t>
                  </w:r>
                </w:p>
              </w:tc>
            </w:tr>
          </w:tbl>
          <w:p>
            <w:pPr>
              <w:pStyle w:val="null3"/>
              <w:spacing w:before="330"/>
              <w:ind w:left="30" w:firstLine="600"/>
              <w:jc w:val="both"/>
            </w:pPr>
            <w:r>
              <w:rPr>
                <w:rFonts w:ascii="仿宋_GB2312" w:hAnsi="仿宋_GB2312" w:cs="仿宋_GB2312" w:eastAsia="仿宋_GB2312"/>
                <w:sz w:val="27"/>
                <w:b/>
              </w:rPr>
              <w:t>6.6.3</w:t>
            </w:r>
            <w:r>
              <w:rPr>
                <w:rFonts w:ascii="仿宋_GB2312" w:hAnsi="仿宋_GB2312" w:cs="仿宋_GB2312" w:eastAsia="仿宋_GB2312"/>
                <w:sz w:val="27"/>
                <w:b/>
              </w:rPr>
              <w:t>苗木需要量</w:t>
            </w:r>
          </w:p>
          <w:p>
            <w:pPr>
              <w:pStyle w:val="null3"/>
              <w:spacing w:before="270"/>
              <w:ind w:left="45" w:firstLine="559"/>
              <w:jc w:val="both"/>
            </w:pPr>
            <w:r>
              <w:rPr>
                <w:rFonts w:ascii="仿宋_GB2312" w:hAnsi="仿宋_GB2312" w:cs="仿宋_GB2312" w:eastAsia="仿宋_GB2312"/>
                <w:sz w:val="28"/>
              </w:rPr>
              <w:t>汉中市南郑区</w:t>
            </w:r>
            <w:r>
              <w:rPr>
                <w:rFonts w:ascii="仿宋_GB2312" w:hAnsi="仿宋_GB2312" w:cs="仿宋_GB2312" w:eastAsia="仿宋_GB2312"/>
                <w:sz w:val="28"/>
              </w:rPr>
              <w:t>2025</w:t>
            </w:r>
            <w:r>
              <w:rPr>
                <w:rFonts w:ascii="仿宋_GB2312" w:hAnsi="仿宋_GB2312" w:cs="仿宋_GB2312" w:eastAsia="仿宋_GB2312"/>
                <w:sz w:val="28"/>
              </w:rPr>
              <w:t>年中央财政林业改革发展资金其他国土绿化项目</w:t>
            </w:r>
            <w:r>
              <w:rPr>
                <w:rFonts w:ascii="仿宋_GB2312" w:hAnsi="仿宋_GB2312" w:cs="仿宋_GB2312" w:eastAsia="仿宋_GB2312"/>
                <w:sz w:val="28"/>
              </w:rPr>
              <w:t>共需补植苗木</w:t>
            </w:r>
            <w:r>
              <w:rPr>
                <w:rFonts w:ascii="仿宋_GB2312" w:hAnsi="仿宋_GB2312" w:cs="仿宋_GB2312" w:eastAsia="仿宋_GB2312"/>
                <w:sz w:val="28"/>
              </w:rPr>
              <w:t>18511株。</w:t>
            </w:r>
          </w:p>
          <w:tbl>
            <w:tblPr>
              <w:tblBorders>
                <w:top w:val="none" w:color="000000" w:sz="4"/>
                <w:left w:val="none" w:color="000000" w:sz="4"/>
                <w:bottom w:val="none" w:color="000000" w:sz="4"/>
                <w:right w:val="none" w:color="000000" w:sz="4"/>
                <w:insideH w:val="none"/>
                <w:insideV w:val="none"/>
              </w:tblBorders>
            </w:tblPr>
            <w:tblGrid>
              <w:gridCol w:w="245"/>
              <w:gridCol w:w="191"/>
              <w:gridCol w:w="113"/>
              <w:gridCol w:w="232"/>
              <w:gridCol w:w="167"/>
              <w:gridCol w:w="226"/>
              <w:gridCol w:w="208"/>
              <w:gridCol w:w="248"/>
              <w:gridCol w:w="216"/>
              <w:gridCol w:w="243"/>
              <w:gridCol w:w="251"/>
              <w:gridCol w:w="191"/>
            </w:tblGrid>
            <w:tr>
              <w:tc>
                <w:tcPr>
                  <w:tcW w:type="dxa" w:w="2531"/>
                  <w:gridSpan w:val="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32"/>
                      <w:color w:val="000000"/>
                    </w:rPr>
                    <w:t>汉中市南郑区</w:t>
                  </w:r>
                  <w:r>
                    <w:rPr>
                      <w:rFonts w:ascii="仿宋_GB2312" w:hAnsi="仿宋_GB2312" w:cs="仿宋_GB2312" w:eastAsia="仿宋_GB2312"/>
                      <w:sz w:val="32"/>
                      <w:color w:val="000000"/>
                    </w:rPr>
                    <w:t>2025年中央财政林业改革发展资金其他国土绿化项目森林抚育作业汇总表</w:t>
                  </w:r>
                </w:p>
              </w:tc>
            </w:tr>
            <w:tr>
              <w:tc>
                <w:tcPr>
                  <w:tcW w:type="dxa" w:w="2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600"/>
                    <w:jc w:val="center"/>
                  </w:pPr>
                </w:p>
              </w:tc>
              <w:tc>
                <w:tcPr>
                  <w:tcW w:type="dxa" w:w="1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1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3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2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4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901"/>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单位：公顷、公里、平方米、立方米</w:t>
                  </w:r>
                </w:p>
              </w:tc>
            </w:tr>
            <w:tr>
              <w:tc>
                <w:tcPr>
                  <w:tcW w:type="dxa" w:w="24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乡镇</w:t>
                  </w:r>
                </w:p>
                <w:p>
                  <w:pPr>
                    <w:pStyle w:val="null3"/>
                    <w:jc w:val="center"/>
                  </w:pPr>
                  <w:r>
                    <w:rPr>
                      <w:rFonts w:ascii="仿宋_GB2312" w:hAnsi="仿宋_GB2312" w:cs="仿宋_GB2312" w:eastAsia="仿宋_GB2312"/>
                      <w:sz w:val="24"/>
                      <w:color w:val="000000"/>
                    </w:rPr>
                    <w:t>(林场)</w:t>
                  </w:r>
                </w:p>
              </w:tc>
              <w:tc>
                <w:tcPr>
                  <w:tcW w:type="dxa" w:w="19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村（林班）</w:t>
                  </w:r>
                </w:p>
              </w:tc>
              <w:tc>
                <w:tcPr>
                  <w:tcW w:type="dxa" w:w="11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小班号</w:t>
                  </w:r>
                </w:p>
              </w:tc>
              <w:tc>
                <w:tcPr>
                  <w:tcW w:type="dxa" w:w="1081"/>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4"/>
                      <w:color w:val="000000"/>
                    </w:rPr>
                    <w:t>作业面积</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补植树种</w:t>
                  </w:r>
                </w:p>
              </w:tc>
              <w:tc>
                <w:tcPr>
                  <w:tcW w:type="dxa" w:w="49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4"/>
                      <w:color w:val="000000"/>
                    </w:rPr>
                    <w:t>施肥</w:t>
                  </w:r>
                </w:p>
              </w:tc>
              <w:tc>
                <w:tcPr>
                  <w:tcW w:type="dxa" w:w="19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采伐蓄积</w:t>
                  </w:r>
                </w:p>
              </w:tc>
            </w:tr>
            <w:tr>
              <w:tc>
                <w:tcPr>
                  <w:tcW w:type="dxa" w:w="245"/>
                  <w:vMerge/>
                  <w:tcBorders>
                    <w:top w:val="single" w:color="000000" w:sz="4"/>
                    <w:left w:val="single" w:color="000000" w:sz="4"/>
                    <w:bottom w:val="single" w:color="000000" w:sz="4"/>
                    <w:right w:val="single" w:color="000000" w:sz="4"/>
                  </w:tcBorders>
                </w:tcPr>
                <w:p/>
              </w:tc>
              <w:tc>
                <w:tcPr>
                  <w:tcW w:type="dxa" w:w="191"/>
                  <w:vMerge/>
                  <w:tcBorders>
                    <w:top w:val="single" w:color="000000" w:sz="4"/>
                    <w:left w:val="none" w:color="000000" w:sz="4"/>
                    <w:bottom w:val="single" w:color="000000" w:sz="4"/>
                    <w:right w:val="single" w:color="000000" w:sz="4"/>
                  </w:tcBorders>
                </w:tcPr>
                <w:p/>
              </w:tc>
              <w:tc>
                <w:tcPr>
                  <w:tcW w:type="dxa" w:w="113"/>
                  <w:vMerge/>
                  <w:tcBorders>
                    <w:top w:val="single" w:color="000000" w:sz="4"/>
                    <w:left w:val="none" w:color="000000" w:sz="4"/>
                    <w:bottom w:val="single" w:color="000000" w:sz="4"/>
                    <w:right w:val="single" w:color="000000" w:sz="4"/>
                  </w:tcBorders>
                </w:tcPr>
                <w:p/>
              </w:tc>
              <w:tc>
                <w:tcPr>
                  <w:tcW w:type="dxa" w:w="2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合计</w:t>
                  </w:r>
                </w:p>
              </w:tc>
              <w:tc>
                <w:tcPr>
                  <w:tcW w:type="dxa" w:w="1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疏伐</w:t>
                  </w:r>
                </w:p>
              </w:tc>
              <w:tc>
                <w:tcPr>
                  <w:tcW w:type="dxa" w:w="2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生长伐</w:t>
                  </w:r>
                </w:p>
              </w:tc>
              <w:tc>
                <w:tcPr>
                  <w:tcW w:type="dxa" w:w="20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补植</w:t>
                  </w:r>
                </w:p>
              </w:tc>
              <w:tc>
                <w:tcPr>
                  <w:tcW w:type="dxa" w:w="24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割灌除草</w:t>
                  </w:r>
                </w:p>
              </w:tc>
              <w:tc>
                <w:tcPr>
                  <w:tcW w:type="dxa" w:w="21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云杉</w:t>
                  </w:r>
                </w:p>
              </w:tc>
              <w:tc>
                <w:tcPr>
                  <w:tcW w:type="dxa" w:w="24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GGR（g）</w:t>
                  </w:r>
                </w:p>
              </w:tc>
              <w:tc>
                <w:tcPr>
                  <w:tcW w:type="dxa" w:w="25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保水剂</w:t>
                  </w:r>
                  <w:r>
                    <w:rPr>
                      <w:rFonts w:ascii="仿宋_GB2312" w:hAnsi="仿宋_GB2312" w:cs="仿宋_GB2312" w:eastAsia="仿宋_GB2312"/>
                      <w:sz w:val="21"/>
                      <w:color w:val="000000"/>
                    </w:rPr>
                    <w:t>(g)</w:t>
                  </w:r>
                </w:p>
              </w:tc>
              <w:tc>
                <w:tcPr>
                  <w:tcW w:type="dxa" w:w="191"/>
                  <w:vMerge/>
                  <w:tcBorders>
                    <w:top w:val="single" w:color="000000" w:sz="4"/>
                    <w:left w:val="none" w:color="000000" w:sz="4"/>
                    <w:bottom w:val="single" w:color="000000" w:sz="4"/>
                    <w:right w:val="single" w:color="000000" w:sz="4"/>
                  </w:tcBorders>
                </w:tcPr>
                <w:p/>
              </w:tc>
            </w:tr>
            <w:tr>
              <w:tc>
                <w:tcPr>
                  <w:tcW w:type="dxa" w:w="245"/>
                  <w:vMerge/>
                  <w:tcBorders>
                    <w:top w:val="single" w:color="000000" w:sz="4"/>
                    <w:left w:val="single" w:color="000000" w:sz="4"/>
                    <w:bottom w:val="single" w:color="000000" w:sz="4"/>
                    <w:right w:val="single" w:color="000000" w:sz="4"/>
                  </w:tcBorders>
                </w:tcPr>
                <w:p/>
              </w:tc>
              <w:tc>
                <w:tcPr>
                  <w:tcW w:type="dxa" w:w="191"/>
                  <w:vMerge/>
                  <w:tcBorders>
                    <w:top w:val="single" w:color="000000" w:sz="4"/>
                    <w:left w:val="none" w:color="000000" w:sz="4"/>
                    <w:bottom w:val="single" w:color="000000" w:sz="4"/>
                    <w:right w:val="single" w:color="000000" w:sz="4"/>
                  </w:tcBorders>
                </w:tcPr>
                <w:p/>
              </w:tc>
              <w:tc>
                <w:tcPr>
                  <w:tcW w:type="dxa" w:w="113"/>
                  <w:vMerge/>
                  <w:tcBorders>
                    <w:top w:val="single" w:color="000000" w:sz="4"/>
                    <w:left w:val="none" w:color="000000" w:sz="4"/>
                    <w:bottom w:val="single" w:color="000000" w:sz="4"/>
                    <w:right w:val="single" w:color="000000" w:sz="4"/>
                  </w:tcBorders>
                </w:tcPr>
                <w:p/>
              </w:tc>
              <w:tc>
                <w:tcPr>
                  <w:tcW w:type="dxa" w:w="232"/>
                  <w:vMerge/>
                  <w:tcBorders>
                    <w:top w:val="none" w:color="000000" w:sz="4"/>
                    <w:left w:val="none" w:color="000000" w:sz="4"/>
                    <w:bottom w:val="single" w:color="000000" w:sz="4"/>
                    <w:right w:val="single" w:color="000000" w:sz="4"/>
                  </w:tcBorders>
                </w:tcPr>
                <w:p/>
              </w:tc>
              <w:tc>
                <w:tcPr>
                  <w:tcW w:type="dxa" w:w="167"/>
                  <w:vMerge/>
                  <w:tcBorders>
                    <w:top w:val="none" w:color="000000" w:sz="4"/>
                    <w:left w:val="none" w:color="000000" w:sz="4"/>
                    <w:bottom w:val="single" w:color="000000" w:sz="4"/>
                    <w:right w:val="single" w:color="000000" w:sz="4"/>
                  </w:tcBorders>
                </w:tcPr>
                <w:p/>
              </w:tc>
              <w:tc>
                <w:tcPr>
                  <w:tcW w:type="dxa" w:w="226"/>
                  <w:vMerge/>
                  <w:tcBorders>
                    <w:top w:val="none" w:color="000000" w:sz="4"/>
                    <w:left w:val="none" w:color="000000" w:sz="4"/>
                    <w:bottom w:val="single" w:color="000000" w:sz="4"/>
                    <w:right w:val="single" w:color="000000" w:sz="4"/>
                  </w:tcBorders>
                </w:tcPr>
                <w:p/>
              </w:tc>
              <w:tc>
                <w:tcPr>
                  <w:tcW w:type="dxa" w:w="208"/>
                  <w:vMerge/>
                  <w:tcBorders>
                    <w:top w:val="none" w:color="000000" w:sz="4"/>
                    <w:left w:val="none" w:color="000000" w:sz="4"/>
                    <w:bottom w:val="single" w:color="000000" w:sz="4"/>
                    <w:right w:val="single" w:color="000000" w:sz="4"/>
                  </w:tcBorders>
                </w:tcPr>
                <w:p/>
              </w:tc>
              <w:tc>
                <w:tcPr>
                  <w:tcW w:type="dxa" w:w="248"/>
                  <w:vMerge/>
                  <w:tcBorders>
                    <w:top w:val="single" w:color="000000" w:sz="4"/>
                    <w:left w:val="none" w:color="000000" w:sz="4"/>
                    <w:bottom w:val="single" w:color="000000" w:sz="4"/>
                    <w:right w:val="single" w:color="000000" w:sz="4"/>
                  </w:tcBorders>
                </w:tcPr>
                <w:p/>
              </w:tc>
              <w:tc>
                <w:tcPr>
                  <w:tcW w:type="dxa" w:w="216"/>
                  <w:vMerge/>
                  <w:tcBorders>
                    <w:top w:val="single" w:color="000000" w:sz="4"/>
                    <w:left w:val="none" w:color="000000" w:sz="4"/>
                    <w:bottom w:val="single" w:color="000000" w:sz="4"/>
                    <w:right w:val="single" w:color="000000" w:sz="4"/>
                  </w:tcBorders>
                </w:tcPr>
                <w:p/>
              </w:tc>
              <w:tc>
                <w:tcPr>
                  <w:tcW w:type="dxa" w:w="243"/>
                  <w:vMerge/>
                  <w:tcBorders>
                    <w:top w:val="single" w:color="000000" w:sz="4"/>
                    <w:left w:val="none" w:color="000000" w:sz="4"/>
                    <w:bottom w:val="single" w:color="000000" w:sz="4"/>
                    <w:right w:val="single" w:color="000000" w:sz="4"/>
                  </w:tcBorders>
                </w:tcPr>
                <w:p/>
              </w:tc>
              <w:tc>
                <w:tcPr>
                  <w:tcW w:type="dxa" w:w="251"/>
                  <w:vMerge/>
                  <w:tcBorders>
                    <w:top w:val="single" w:color="000000" w:sz="4"/>
                    <w:left w:val="none" w:color="000000" w:sz="4"/>
                    <w:bottom w:val="single" w:color="000000" w:sz="4"/>
                    <w:right w:val="single" w:color="000000" w:sz="4"/>
                  </w:tcBorders>
                </w:tcPr>
                <w:p/>
              </w:tc>
              <w:tc>
                <w:tcPr>
                  <w:tcW w:type="dxa" w:w="191"/>
                  <w:vMerge/>
                  <w:tcBorders>
                    <w:top w:val="single" w:color="000000" w:sz="4"/>
                    <w:left w:val="none" w:color="000000" w:sz="4"/>
                    <w:bottom w:val="single" w:color="000000" w:sz="4"/>
                    <w:right w:val="single" w:color="000000" w:sz="4"/>
                  </w:tcBorders>
                </w:tc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合计</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9300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712.9</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8587.1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758.5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9300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18511</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46273.5</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7585000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0075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262.9</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262.9</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40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262.9</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1000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2500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400000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14.6</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0075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267.2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267.2</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267.2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15.5</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0075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214.5</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214.5</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41.4</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214.5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1035</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2587.5</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414000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15.8</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0075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264.5</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264.5</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37.4</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264.5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935</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2337.5</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374000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17.4</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0075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212.1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212.1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19.2</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0075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132.9</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132.9</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34.9</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132.9</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873</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2182.5</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349000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14.1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0075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106.7</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106.7</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39.4</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106.7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531</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1328.4</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394000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7.8</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0075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210.2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210.2</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45.6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210.2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1140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2850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456000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15.1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0075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122.2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122.2</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122.2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14.8</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0075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170.4</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170.4</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37.6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170.4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940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2350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376000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19.1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0075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192.7</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192.7</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39.9</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192.7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998</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2495</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399000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20.0</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0075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242.7</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242.7</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42.3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242.7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1058</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2645</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423000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16.8</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0075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104.7</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104.7</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104.7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8.4</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0075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195.1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45.4</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195.1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1135</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2837.5</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454000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17.7</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0075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203.8</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203.8</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203.8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15.4</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0075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219</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39</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219</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975</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2437.5</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390000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16.8</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0075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17</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170.6</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170.6</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170.6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14.6</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0075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18</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211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211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11.3</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0075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92.4</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92.4</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92.4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14.6</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0075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271.9</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271.9</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271.9</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11.9</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0075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112.1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36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112.1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900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2250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360000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10.8</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0075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222.2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222.2</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222.2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18.0</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0075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179.9</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179.9</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43.1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179.9</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1078</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2695</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431000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18.6</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0075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281.6</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281.6</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281.6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15.8</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0075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189.6</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189.6</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189.6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16.8</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0075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114.4</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114.4</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114.4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16.5</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0075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118.1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118.1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16.9</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0075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232.2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232.2</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44.2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232.2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1105</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2762.5</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442000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3.3</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0075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29</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129.9</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129.9</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129.9</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15.2</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0084</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41.1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41.1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8.8</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0084</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186.4</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186.4</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186.4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6.4</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0084</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154.3</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154.3</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38.2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154.3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955</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2387.5</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382000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14.4</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0084</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147</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147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13.5</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0084</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161.4</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161.4</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161.4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13.6</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0084</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271.8</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271.8</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31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271.8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775</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1932.6</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310000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12.9</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0084</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207.3</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207.3</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207.3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18.7</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0084</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169</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169</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15.1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0084</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242.7</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242.7</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242.7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16.9</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0084</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227.1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28.6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227.1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715</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1787.5</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286000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17.2</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0084</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293.3</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293.3</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293.3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14.3</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0085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193.7</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193.7</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193.7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14.0</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0085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158.1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158.1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16.9</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0085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113.3</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113.3</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113.3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14.0</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0085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248.8</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248.8</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248.8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14.0</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0085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221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38.5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221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963</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2407.5</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385000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15.4</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0085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157.1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157.1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157.1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3.7</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0085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132.3</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132.3</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132.3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14.3</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0085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178.8</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178.8</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30.4</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178.8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760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1900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304000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3.0</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0085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206.3</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206.3</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25.6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206.3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640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1600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256000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15.7</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碑坝林场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left"/>
                  </w:pPr>
                  <w:r>
                    <w:rPr>
                      <w:rFonts w:ascii="仿宋_GB2312" w:hAnsi="仿宋_GB2312" w:cs="仿宋_GB2312" w:eastAsia="仿宋_GB2312"/>
                      <w:sz w:val="21"/>
                      <w:color w:val="000000"/>
                    </w:rPr>
                    <w:t>0085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141.7</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141.7</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141.7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1"/>
                      <w:color w:val="000000"/>
                    </w:rPr>
                    <w:t>16.1</w:t>
                  </w:r>
                </w:p>
              </w:tc>
            </w:tr>
          </w:tbl>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满足本项目人员配置要求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满足本项目设施设备配置要求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10个月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碑坝林场 0075、0084、0085林班</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自查验收：项目竣工后，建设单位进行全面检查验收，严格依据下达的计划、批复的方案设计，变更项目依据变更批复和变更设计进行验收。自查验收工作要在规范档案管理的前提下进行，档案自验不合格，工程自验不得进行。自查验收工作实行全面验收，验收面积要求达到100%，自验工作严格对照设计进行，验收的主要内容包括工程任务和投资计划完成情况，自查验收要认真对照设计和验收卡片逐项进行，图、文、表资料要齐全，不得漏项。 （2）省、市联合验收：区级检查验收完毕后，将检查验收结果上报省、市林业主管部门进行验收。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项目进度达到70%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项目完工后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项目经验收合格后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由甲乙双方合同中约定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供应商应提供非联合体投标书面声明；</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非联合体投标书面声明.docx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营业执照或相关证明文件：</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 证书等国家规定的相关证明，自然人参与的提供其身份证明；供应商需提供相关证件复印件并盖电子章。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 具法定代表人身份证，并与营业执照上信息一致。法定代表人授权他人参加投标的，须提供法定代表人授权委托书。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符合招标文件中规定的服务期限</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应符合招标文件中的规定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响应文件的签署盖章符合招标文件要求</w:t>
            </w:r>
          </w:p>
        </w:tc>
        <w:tc>
          <w:tcPr>
            <w:tcW w:type="dxa" w:w="1661"/>
          </w:tcPr>
          <w:p>
            <w:pPr>
              <w:pStyle w:val="null3"/>
            </w:pPr>
            <w:r>
              <w:rPr>
                <w:rFonts w:ascii="仿宋_GB2312" w:hAnsi="仿宋_GB2312" w:cs="仿宋_GB2312" w:eastAsia="仿宋_GB2312"/>
              </w:rPr>
              <w:t>开标一览表 作业设备配置方案.docx 服务内容及服务邀请应答表 中小企业声明函 商务应答表 其他证明材料.docx 人员组织措施方案.docx 项目实施方案.docx 进度保障措施.docx 项目重点、难点保障措施.docx 质量控制措施.docx 非联合体投标书面声明.docx 分项报价表.docx 供应商应提交的相关资格证明材料.docx 投标函 残疾人福利性单位声明函 安全保障措施.docx 标的清单 投标文件封面 后期服务方案.docx 环境保护措施.docx 监狱企业的证明文件 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响应文件内容符合招标文件要求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投标人应按招标文件约定交纳投标保证金</w:t>
            </w:r>
          </w:p>
        </w:tc>
        <w:tc>
          <w:tcPr>
            <w:tcW w:type="dxa" w:w="1661"/>
          </w:tcPr>
          <w:p>
            <w:pPr>
              <w:pStyle w:val="null3"/>
            </w:pPr>
            <w:r>
              <w:rPr>
                <w:rFonts w:ascii="仿宋_GB2312" w:hAnsi="仿宋_GB2312" w:cs="仿宋_GB2312" w:eastAsia="仿宋_GB2312"/>
              </w:rPr>
              <w:t>投标保证金.docx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2022年1月1日起至今，供应商具有类似项目业绩，每有一项有效业绩得3分，满分得9分。评审依据：提供中标（成交）通知书或完整业绩合同扫描件或复印件，未提供或提供不全不得分。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项目组成人员</w:t>
            </w:r>
          </w:p>
        </w:tc>
        <w:tc>
          <w:tcPr>
            <w:tcW w:type="dxa" w:w="2492"/>
          </w:tcPr>
          <w:p>
            <w:pPr>
              <w:pStyle w:val="null3"/>
            </w:pPr>
            <w:r>
              <w:rPr>
                <w:rFonts w:ascii="仿宋_GB2312" w:hAnsi="仿宋_GB2312" w:cs="仿宋_GB2312" w:eastAsia="仿宋_GB2312"/>
              </w:rPr>
              <w:t>根据各投标人拟投入本项目人员构成的情况：配备育林管理、林业相关专业技术人员或作业人员，以及关键岗位：施工员、质量员、安全员、材料员、资料员等人员：人数在 5 人以上（含 5 人）得 3分，在此基础上每增加1人得 0.5 分，最高得 7 分。 评审依据：以供应商提供加盖公章的人员身份证、劳务合 同及岗位证书（或职称证书）复印件为准。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拟派项目负责人具有林业类相关专业高级技术职称得4分，林业类相关专业中级技术职称得3分，林业类相关专业初级技术职称得2分，具备其它专业技术职称得1分，未提供职称证不得分。（以加盖公章的职称证复印件为准) 评审依据：以供应商提供加盖公章的人员身份证、劳务合同及职称证书复印件为准。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投标人能充分了解本项目需求和实施特点，理解本项目的采购需求，制定项目实施方案: 方案各部分内容全面详细、阐述条理清晰详尽、结合本项目采购需求具有较强的针对性，充分、有效保障本项目实施的计7分； 方案内容全面详细，符合本项目采购需求，具有针对性，能保障本项目实施的计6分； 内容总体完整、可实施且逻辑通顺、合理的计4分； 方案基本完整为一般通用方案的计2分； 方案描述不符合本项目实际情况，存在明显套用其他项目方案的内容，内容空洞，存在逻辑漏洞、常识错误或合理性差得0.5-0分； 未提供方案不得分。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人员组织措施方案</w:t>
            </w:r>
          </w:p>
        </w:tc>
        <w:tc>
          <w:tcPr>
            <w:tcW w:type="dxa" w:w="2492"/>
          </w:tcPr>
          <w:p>
            <w:pPr>
              <w:pStyle w:val="null3"/>
            </w:pPr>
            <w:r>
              <w:rPr>
                <w:rFonts w:ascii="仿宋_GB2312" w:hAnsi="仿宋_GB2312" w:cs="仿宋_GB2312" w:eastAsia="仿宋_GB2312"/>
              </w:rPr>
              <w:t>项目管理机构设置合理，人员配备齐全： 投标人针对本项目有具体的专业技术人员配置、数量、职称及具有相关经验详细的实施人员安排方案，分工合理、责任明确： 方案各部分内容全面详细、阐述条理清晰详尽、结合本项目采购需求具有较强的针对性，充分、有效保障本项目实施的计7分； 方案内容全面详细，符合本项目采购需求，具有针对性，能保障本项目实施的计6分； 内容总体完整、可实施且逻辑通顺、合理的计4分； 方案基本完整为一般通用方案的计2分； 方案描述不符合本项目实际情况，存在明显套用其他项目方案的内容，内容空洞，存在逻辑漏洞、常识错误或合理性差得0.5-0分； 未提供方案不得分。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人员组织措施方案.docx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投标人针对本项目制定的质量控制措施： 方案各部分内容全面详细、阐述条理清晰详尽、结合本项目采购需求具有较强的针对性和可操作性，充分有效保障本项目实施的计8分； 方案内容全面详细，符合本项目采购需求，具有针对性，能保障本项目实施的计6分； 内容总体完整、可实施且逻辑通顺、合理的计4分； 方案基本完整为一般通用方案的计2分； 方案描述不符合本项目实际情况，存在明显套用其他项目方案的内容，内容空洞，存在逻辑漏洞、常识错误或合理性差得0.5-0分； 未提供方案不得分。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质量控制措施.docx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投标人针对本项目制定的安全保障措施， 方案各部分内容全面详细、阐述条理清晰详尽、结合本项目采购需求具有较强的针对性和可操作性，充分、有效保障本项目实施的计8分； 方案内容全面详细，符合本项目采购需求，具有针对性，能保障本项目实施的计6分； 内容总体完整、可实施且逻辑通顺、合理的计4分； 方案基本完整为一般通用方案的计2分； 方案描述不符合本项目实际情况，存在明显套用其他项目方案的内容，内容空洞，存在逻辑漏洞、常识错误或合理性差得0.5-0分；未提供不计分。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安全保障措施.docx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投标人针对本项目制定的进度保障措施： 方案各部分内容全面详细、阐述条理清晰详尽、结合本项目采购需求具有较强的针对性和可操作性，充分有效保障本项目实施的计8分； 方案内容全面详细，符合本项目采购需求，具有针对性，能保障本项目实施的计6分； 内容总体完整、可实施且逻辑通顺、合理的计4分； 方案基本完整为一般通用方案的计2分； 方案描述不符合本项目实际情况，存在明显套用其他项目方案的内容，内容空洞，存在逻辑漏洞、常识错误或合理性差得0.5-0分；未提供不计分。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进度保障措施.docx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投标人针对本项目制定的环境保护措施： 方案各部分内容全面详细、阐述条理清晰详尽、结合本项目采购需求具有较强的针对性和可操作性，充分有效保障本项目实施的计7分； 方案内容全面详细，符合本项目采购需求，具有针对性，能保障本项目实施的计6分； 内容总体完整、可实施且逻辑通顺、合理的计4分； 方案基本完整为一般通用方案的计2分； 方案描述不符合本项目实际情况，存在明显套用其他项目方案的内容，内容空洞，存在逻辑漏洞、常识错误或合理性差得0.5-0分；未提供不计分。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环境保护措施.docx</w:t>
            </w:r>
          </w:p>
        </w:tc>
      </w:tr>
      <w:tr>
        <w:tc>
          <w:tcPr>
            <w:tcW w:type="dxa" w:w="831"/>
            <w:vMerge/>
          </w:tcPr>
          <w:p/>
        </w:tc>
        <w:tc>
          <w:tcPr>
            <w:tcW w:type="dxa" w:w="1661"/>
          </w:tcPr>
          <w:p>
            <w:pPr>
              <w:pStyle w:val="null3"/>
            </w:pPr>
            <w:r>
              <w:rPr>
                <w:rFonts w:ascii="仿宋_GB2312" w:hAnsi="仿宋_GB2312" w:cs="仿宋_GB2312" w:eastAsia="仿宋_GB2312"/>
              </w:rPr>
              <w:t>作业设备配置方案</w:t>
            </w:r>
          </w:p>
        </w:tc>
        <w:tc>
          <w:tcPr>
            <w:tcW w:type="dxa" w:w="2492"/>
          </w:tcPr>
          <w:p>
            <w:pPr>
              <w:pStyle w:val="null3"/>
            </w:pPr>
            <w:r>
              <w:rPr>
                <w:rFonts w:ascii="仿宋_GB2312" w:hAnsi="仿宋_GB2312" w:cs="仿宋_GB2312" w:eastAsia="仿宋_GB2312"/>
              </w:rPr>
              <w:t>拟投入本项目的机械、设备配置方案； 方案各部分内容全面详细、阐述条理清晰详尽、结合本项目采购需求具有较强的针对性和可操作性，充分有效保障本项目实施的计7分； 方案内容全面详细，符合本项目采购需求，具有针对性，能保障本项目实施的计6分 内容总体完整、可实施且逻辑通顺、合理的计4分； 方案基本完整为一般通用方案的计2分； 方案描述不符合本项目实际情况，存在明显套用其他项目方案的内容，内容空洞，存在逻辑漏洞、常识错误或合理性差得0.5-0分；未提供不计分。 未提供方案不得分。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作业设备配置方案.docx</w:t>
            </w:r>
          </w:p>
        </w:tc>
      </w:tr>
      <w:tr>
        <w:tc>
          <w:tcPr>
            <w:tcW w:type="dxa" w:w="831"/>
            <w:vMerge/>
          </w:tcPr>
          <w:p/>
        </w:tc>
        <w:tc>
          <w:tcPr>
            <w:tcW w:type="dxa" w:w="1661"/>
          </w:tcPr>
          <w:p>
            <w:pPr>
              <w:pStyle w:val="null3"/>
            </w:pPr>
            <w:r>
              <w:rPr>
                <w:rFonts w:ascii="仿宋_GB2312" w:hAnsi="仿宋_GB2312" w:cs="仿宋_GB2312" w:eastAsia="仿宋_GB2312"/>
              </w:rPr>
              <w:t>项目重点、难点保障措施</w:t>
            </w:r>
          </w:p>
        </w:tc>
        <w:tc>
          <w:tcPr>
            <w:tcW w:type="dxa" w:w="2492"/>
          </w:tcPr>
          <w:p>
            <w:pPr>
              <w:pStyle w:val="null3"/>
            </w:pPr>
            <w:r>
              <w:rPr>
                <w:rFonts w:ascii="仿宋_GB2312" w:hAnsi="仿宋_GB2312" w:cs="仿宋_GB2312" w:eastAsia="仿宋_GB2312"/>
              </w:rPr>
              <w:t>投标人针对本项目定对重点和难点把握的完整性、准确性、解决方案措施： 方案各部分内容全面详细、阐述条理清晰详尽、结合本项目采购需求具有较强的针对性和可操作性，充分有效保障本项目实施的计7分； 方案内容全面详细，符合本项目采购需求，具有针对性，能保障本项目实施的计6分 内容总体完整、可实施且逻辑通顺、合理的计4分； 方案基本完整为一般通用方案的计2分； 方案描述不符合本项目实际情况，存在明显套用其他项目方案的内容，内容空洞，存在逻辑漏洞、常识错误或合理性差得0.5-0分；未提供不计分。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项目重点、难点保障措施.docx</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投标人针对本项目特点的后期服务，内容包括后期服务人员名单、职责和联系方式等： 方案各部分内容全面详细、阐述条理清晰详尽，符合本项目采购需求，具有针对性，能保障本项目实施的计6分 内容总体完整、可实施且逻辑通顺、合理的计4分； 方案基本完整为一般通用方案的计2分； 方案描述不符合本项目实际情况，存在明显套用其他项目方案的内容，内容空洞，存在逻辑漏洞、常识错误或合理性差得0.5-0分；未提供不计分。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后期服务方案.docx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 评标委员会认为投标人的报价明显低于其他通过符合性审查投标人的报价，有可能影响产品质量或者不能诚信履约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详见附件：非联合体投标书面声明.docx</w:t>
      </w:r>
    </w:p>
    <w:p>
      <w:pPr>
        <w:pStyle w:val="null3"/>
        <w:ind w:firstLine="960"/>
      </w:pPr>
      <w:r>
        <w:rPr>
          <w:rFonts w:ascii="仿宋_GB2312" w:hAnsi="仿宋_GB2312" w:cs="仿宋_GB2312" w:eastAsia="仿宋_GB2312"/>
        </w:rPr>
        <w:t>详见附件：人员组织措施方案.docx</w:t>
      </w:r>
    </w:p>
    <w:p>
      <w:pPr>
        <w:pStyle w:val="null3"/>
        <w:ind w:firstLine="960"/>
      </w:pPr>
      <w:r>
        <w:rPr>
          <w:rFonts w:ascii="仿宋_GB2312" w:hAnsi="仿宋_GB2312" w:cs="仿宋_GB2312" w:eastAsia="仿宋_GB2312"/>
        </w:rPr>
        <w:t>详见附件：作业设备配置方案.docx</w:t>
      </w:r>
    </w:p>
    <w:p>
      <w:pPr>
        <w:pStyle w:val="null3"/>
        <w:ind w:firstLine="960"/>
      </w:pPr>
      <w:r>
        <w:rPr>
          <w:rFonts w:ascii="仿宋_GB2312" w:hAnsi="仿宋_GB2312" w:cs="仿宋_GB2312" w:eastAsia="仿宋_GB2312"/>
        </w:rPr>
        <w:t>详见附件：后期服务方案.docx</w:t>
      </w:r>
    </w:p>
    <w:p>
      <w:pPr>
        <w:pStyle w:val="null3"/>
        <w:ind w:firstLine="960"/>
      </w:pPr>
      <w:r>
        <w:rPr>
          <w:rFonts w:ascii="仿宋_GB2312" w:hAnsi="仿宋_GB2312" w:cs="仿宋_GB2312" w:eastAsia="仿宋_GB2312"/>
        </w:rPr>
        <w:t>详见附件：安全保障措施.docx</w:t>
      </w:r>
    </w:p>
    <w:p>
      <w:pPr>
        <w:pStyle w:val="null3"/>
        <w:ind w:firstLine="960"/>
      </w:pPr>
      <w:r>
        <w:rPr>
          <w:rFonts w:ascii="仿宋_GB2312" w:hAnsi="仿宋_GB2312" w:cs="仿宋_GB2312" w:eastAsia="仿宋_GB2312"/>
        </w:rPr>
        <w:t>详见附件：环境保护措施.docx</w:t>
      </w:r>
    </w:p>
    <w:p>
      <w:pPr>
        <w:pStyle w:val="null3"/>
        <w:ind w:firstLine="960"/>
      </w:pPr>
      <w:r>
        <w:rPr>
          <w:rFonts w:ascii="仿宋_GB2312" w:hAnsi="仿宋_GB2312" w:cs="仿宋_GB2312" w:eastAsia="仿宋_GB2312"/>
        </w:rPr>
        <w:t>详见附件：质量控制措施.docx</w:t>
      </w:r>
    </w:p>
    <w:p>
      <w:pPr>
        <w:pStyle w:val="null3"/>
        <w:ind w:firstLine="960"/>
      </w:pPr>
      <w:r>
        <w:rPr>
          <w:rFonts w:ascii="仿宋_GB2312" w:hAnsi="仿宋_GB2312" w:cs="仿宋_GB2312" w:eastAsia="仿宋_GB2312"/>
        </w:rPr>
        <w:t>详见附件：进度保障措施.docx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详见附件：项目重点、难点保障措施.docx</w:t>
      </w:r>
    </w:p>
    <w:p>
      <w:pPr>
        <w:pStyle w:val="null3"/>
        <w:ind w:firstLine="960"/>
      </w:pPr>
      <w:r>
        <w:rPr>
          <w:rFonts w:ascii="仿宋_GB2312" w:hAnsi="仿宋_GB2312" w:cs="仿宋_GB2312" w:eastAsia="仿宋_GB2312"/>
        </w:rPr>
        <w:t>详见附件：其他证明材料.docx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详见附件：合同条款格式.docx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