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版本号：yyzx-2025-2320251109001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南郑区城东社区健身中心游泳场馆改造项目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yyzx-2025-23</w:t>
      </w:r>
      <w:r>
        <w:br/>
      </w:r>
      <w:r>
        <w:br/>
      </w:r>
      <w:r>
        <w:br/>
      </w:r>
    </w:p>
    <w:p>
      <w:pPr>
        <w:pStyle w:val="null3"/>
        <w:jc w:val="center"/>
        <w:outlineLvl w:val="2"/>
      </w:pPr>
      <w:r>
        <w:rPr>
          <w:rFonts w:ascii="仿宋_GB2312" w:hAnsi="仿宋_GB2312" w:cs="仿宋_GB2312" w:eastAsia="仿宋_GB2312"/>
          <w:sz w:val="28"/>
          <w:b/>
        </w:rPr>
        <w:t>汉中市南郑区教育体育局</w:t>
      </w:r>
    </w:p>
    <w:p>
      <w:pPr>
        <w:pStyle w:val="null3"/>
        <w:jc w:val="center"/>
        <w:outlineLvl w:val="2"/>
      </w:pPr>
      <w:r>
        <w:rPr>
          <w:rFonts w:ascii="仿宋_GB2312" w:hAnsi="仿宋_GB2312" w:cs="仿宋_GB2312" w:eastAsia="仿宋_GB2312"/>
          <w:sz w:val="28"/>
          <w:b/>
        </w:rPr>
        <w:t>银源工程咨询有限公司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银源工程咨询有限公司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汉中市南郑区教育体育局</w:t>
      </w:r>
      <w:r>
        <w:rPr>
          <w:rFonts w:ascii="仿宋_GB2312" w:hAnsi="仿宋_GB2312" w:cs="仿宋_GB2312" w:eastAsia="仿宋_GB2312"/>
        </w:rPr>
        <w:t>委托，拟对</w:t>
      </w:r>
      <w:r>
        <w:rPr>
          <w:rFonts w:ascii="仿宋_GB2312" w:hAnsi="仿宋_GB2312" w:cs="仿宋_GB2312" w:eastAsia="仿宋_GB2312"/>
        </w:rPr>
        <w:t>南郑区城东社区健身中心游泳场馆改造项目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yyzx-2025-23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南郑区城东社区健身中心游泳场馆改造项目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位于南郑区城东社区，建设规模：游泳馆室外地面破除恢复430㎡;新做独立基础+基础梁钢结构泳池屋面，屋面采用聚酯纤维膜结构2800㎡;室外埋地敷设DN100排水管161m;电气工程增设配电箱3台、安装灯具数套及配套设备、防雷接地、系统调试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采购包1（游泳场馆改造项目）：属于专门面向中小企业采购。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3、供应商资质要求：投标供应商须提供建设行政主管部门颁发的建筑工程施工总承包二级及以上资质，并提供有效的安全生产许可证</w:t>
      </w:r>
    </w:p>
    <w:p>
      <w:pPr>
        <w:pStyle w:val="null3"/>
      </w:pPr>
      <w:r>
        <w:rPr>
          <w:rFonts w:ascii="仿宋_GB2312" w:hAnsi="仿宋_GB2312" w:cs="仿宋_GB2312" w:eastAsia="仿宋_GB2312"/>
        </w:rPr>
        <w:t>4、项目负责人要求：供应商拟派项目负责人须在本单位注册，具备建筑工程专业二级及以上注册建造师执业资格，并取得安全生产考核合格证书（建安B证），且无在建工程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陕西省汉中市南郑区汉山街道办汉山路建设巷10号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18992662866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银源工程咨询有限公司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陕西省汉中市汉台区七里街道办新桥花卉市场A栋2-2号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欧阳兵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0916-2625196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开户名称：银源工程咨询有限公司汉中分公司</w:t>
            </w:r>
          </w:p>
          <w:p>
            <w:pPr>
              <w:pStyle w:val="null3"/>
            </w:pPr>
            <w:r>
              <w:rPr>
                <w:rFonts w:ascii="仿宋_GB2312" w:hAnsi="仿宋_GB2312" w:cs="仿宋_GB2312" w:eastAsia="仿宋_GB2312"/>
              </w:rPr>
              <w:t>开户银行：中国工商银行股份有限公司汉中天台路支行</w:t>
            </w:r>
          </w:p>
          <w:p>
            <w:pPr>
              <w:pStyle w:val="null3"/>
            </w:pPr>
            <w:r>
              <w:rPr>
                <w:rFonts w:ascii="仿宋_GB2312" w:hAnsi="仿宋_GB2312" w:cs="仿宋_GB2312" w:eastAsia="仿宋_GB2312"/>
              </w:rPr>
              <w:t>银行账号：2606053809000154950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代理服务费收费标准：详见本项目招标代理合同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汉中市南郑区教育体育局</w:t>
      </w:r>
      <w:r>
        <w:rPr>
          <w:rFonts w:ascii="仿宋_GB2312" w:hAnsi="仿宋_GB2312" w:cs="仿宋_GB2312" w:eastAsia="仿宋_GB2312"/>
        </w:rPr>
        <w:t>和</w:t>
      </w:r>
      <w:r>
        <w:rPr>
          <w:rFonts w:ascii="仿宋_GB2312" w:hAnsi="仿宋_GB2312" w:cs="仿宋_GB2312" w:eastAsia="仿宋_GB2312"/>
        </w:rPr>
        <w:t>银源工程咨询有限公司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银源工程咨询有限公司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银源工程咨询有限公司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银源工程咨询有限公司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银源工程咨询有限公司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联系人：欧阳兵</w:t>
      </w:r>
    </w:p>
    <w:p>
      <w:pPr>
        <w:pStyle w:val="null3"/>
      </w:pPr>
      <w:r>
        <w:rPr>
          <w:rFonts w:ascii="仿宋_GB2312" w:hAnsi="仿宋_GB2312" w:cs="仿宋_GB2312" w:eastAsia="仿宋_GB2312"/>
        </w:rPr>
        <w:t>联系电话：0916-2625196</w:t>
      </w:r>
    </w:p>
    <w:p>
      <w:pPr>
        <w:pStyle w:val="null3"/>
      </w:pPr>
      <w:r>
        <w:rPr>
          <w:rFonts w:ascii="仿宋_GB2312" w:hAnsi="仿宋_GB2312" w:cs="仿宋_GB2312" w:eastAsia="仿宋_GB2312"/>
        </w:rPr>
        <w:t>地址：陕西省汉中市汉台区七里街道办新桥花卉市场A栋2-2号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2,290,000.00</w:t>
      </w:r>
    </w:p>
    <w:p>
      <w:pPr>
        <w:pStyle w:val="null3"/>
      </w:pPr>
      <w:r>
        <w:rPr>
          <w:rFonts w:ascii="仿宋_GB2312" w:hAnsi="仿宋_GB2312" w:cs="仿宋_GB2312" w:eastAsia="仿宋_GB2312"/>
        </w:rPr>
        <w:t>采购包最高限价（元）: 2,094,542.58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2290000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标的名称：2290000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该项目建设地点位于南郑区城东社区，建设规模：游泳馆室外地面破除恢复430㎡;新做独立基础+基础梁钢结构泳池屋面，屋面采用聚酯纤维膜结构2800㎡;室外埋地敷设DN100排水管161m;电气工程增设配电箱3台、安装灯具数套及配套设备、防雷接地、系统调试等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30"/>
              <w:jc w:val="left"/>
            </w:pPr>
            <w:r>
              <w:rPr>
                <w:rFonts w:ascii="仿宋_GB2312" w:hAnsi="仿宋_GB2312" w:cs="仿宋_GB2312" w:eastAsia="仿宋_GB2312"/>
              </w:rPr>
              <w:t>招标范围：施工图设计范围内、工程量清单内的全部内容。</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工期要求：90日历天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技术要求：工程质量、安全要求达到现行国家规范要求。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投标供应商须提供建设行政主管部门颁发的建筑工程施工总承包二级及以上资质，并提供有效的安全生产许可证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供应商拟派项目负责人须在本单位注册，具备建筑工程专业二级及以上注册建造师执业资格，并取得安全生产考核合格证书（建安B证），且无在建工程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中小企业声明函 供应商应提交的相关资格证明材料 响应文件封面 技术标及方案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已标价工程量清单 中小企业声明函 供应商应提交的相关资格证明材料 响应文件封面 技术标及方案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中小企业声明函 供应商应提交的相关资格证明材料 响应文件封面 技术标及方案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已标价工程量清单 中小企业声明函 供应商应提交的相关资格证明材料 响应文件封面 技术标及方案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1、完整性：方案内容完整全面，对上述各项内容均有描述，得2分；缺1项，得1.5分；缺2项，得1分；缺3项，得0.5分。2、针对性：针对性强，得3分；针对性一般，得1.5分；缺乏针对性，得0分。3、可实施性：可实施性强，得3分；可实施性一般，得1.5分；缺乏可实施性，得0分。 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二、赋分标准：1、完整性：方案内容完整全面，对上述各项内容均有描述，得1分；缺1项，得0.7分；缺2 项，得0.4分。2、针对性：针对性强，得1.5分；针对性一般，得0.7分；缺乏针对性，得0分。3、可实施性：可实施性强，得1.5分；可实施性一般，得0.7分；缺乏可实施性，得0分。 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1、完整性：方案内容完整全面，对上述各项内容均有描述，得1分；缺1项，得0.5分。2、针对性：针对性强，得1分；针对性一般，得0.5分；缺乏针对性，得0分。3、可实施性：可实施性强，得1分；可实施性一般，得0.5分；缺乏可实施性，得0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 理与控制方案。 二、赋分标准：1、完整性：方案内容完整全面，对上述各项内容均有描述，得1分；缺1项，得0.7分；缺2 项，得0.4分。2、针对性：针对性强，得2分；针对性一般，得1分；缺乏针对性，得0分。3、可实施性：可实施性强，得2分；可实施性一般，得1分；缺乏可实施性，得0分。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 全警戒标语、施工人员安全警示服和安全帽穿配要求④安全教育培训。 二、赋分标准：1、完整性：方案内容完整全面，对上述各项内容均有描述，得 2 分；缺 1 项，得 1.5 分；缺 2 项，得 1 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 2 分；缺 1 项，得 1.5 分；缺 2 项，得 1分；缺 3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二、赋分标准：1、完整性：方案内容完整全面，对上述各项内容均有描述，得 1 分；缺 1 项，得 0.7 分；缺 2 项，得 0.4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二、赋分标准：1、完整性：方案内容完整全面，对上述各项内容均有描述，得 1 分；缺 1 项，得 0.5 分。2、针对性：针对性强，得 2 分；针对性一般，得 1 分；缺乏针对性，得 0 分。3、可实施性：可实施性强，得 2 分；可实施性一般，得 1 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二、赋分标准：1、完整性：方案内容完整全面，对上述各项内容均有描述，得 1 分；缺 1 项，得 0.5 分。2、针对性：针对性强，得 1 分；针对性一般，得 0.5 分；缺乏针对性，得 0 分。3、可实施性：可实施性强，得 1 分；可实施性一般，得 0.5 分；缺乏可实施性，得 0 分。 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造价员），包含：具体成员姓名、年龄、职称、岗位资格证书、开标前6个月的社保缴纳证明。提供以上清单中所有内容得6分，每人缺1项扣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企业：提供2021年1月1日以来类似项目业绩，每提供一个得2分，最高4分，没有不得分。 注：业绩以成交（中标）通知书、施工合同、竣工验收证明扫描件为准。 项目经理：提供2021年1月1日以来类似项目业绩，每提供一个得2分，最高4分，没有不得分。 注：业绩以成交（中标）通知书、施工合同、竣工验收证明扫描件为准。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质量环境职业安全三体系认证</w:t>
            </w:r>
          </w:p>
        </w:tc>
        <w:tc>
          <w:tcPr>
            <w:tcW w:type="dxa" w:w="2492"/>
          </w:tcPr>
          <w:p>
            <w:pPr>
              <w:pStyle w:val="null3"/>
            </w:pPr>
            <w:r>
              <w:rPr>
                <w:rFonts w:ascii="仿宋_GB2312" w:hAnsi="仿宋_GB2312" w:cs="仿宋_GB2312" w:eastAsia="仿宋_GB2312"/>
              </w:rPr>
              <w:t>质量管理体系、环境管理体系、职业安全健康管理体系认证证书：有1项有效的体系证书得1分，最多得3分。评审依据：需提供体系认证证书原件扫描件和国家市场监督管理总局(全国认证认可信息公共服务平台)网站完整截图，最终以磋商小组现场网查结果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二、赋分标准：1、完整性：方案内容完整全面，对上述各项内容均有描述，得 2 分；缺 1 项，得 1.5 分；缺 2 项，得 1 分；缺 3 项，得 0.5 分。2、针对性：针对性强，得 2 分；针对性一般，得 1 分；缺乏针对性，得 0 分。3、可实施性：可实施性强，得1分；可实施性一般，得0.5分；缺乏可实施性，得 0 分。 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详见附件：技术标及方案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