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版本号：TZZB-HZ-2025371C20251223002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汉中市南郑区城镇开发边界优化调整方案编制服务采购项目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TZZB-HZ-2025371C</w:t>
      </w:r>
      <w:r>
        <w:br/>
      </w:r>
      <w:r>
        <w:br/>
      </w:r>
      <w:r>
        <w:br/>
      </w:r>
    </w:p>
    <w:p>
      <w:pPr>
        <w:pStyle w:val="null3"/>
        <w:jc w:val="center"/>
        <w:outlineLvl w:val="2"/>
      </w:pPr>
      <w:r>
        <w:rPr>
          <w:rFonts w:ascii="仿宋_GB2312" w:hAnsi="仿宋_GB2312" w:cs="仿宋_GB2312" w:eastAsia="仿宋_GB2312"/>
          <w:sz w:val="28"/>
          <w:b/>
        </w:rPr>
        <w:t>汉中市自然资源局南郑分局</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汉中市自然资源局南郑分局</w:t>
      </w:r>
      <w:r>
        <w:rPr>
          <w:rFonts w:ascii="仿宋_GB2312" w:hAnsi="仿宋_GB2312" w:cs="仿宋_GB2312" w:eastAsia="仿宋_GB2312"/>
        </w:rPr>
        <w:t>委托，拟对</w:t>
      </w:r>
      <w:r>
        <w:rPr>
          <w:rFonts w:ascii="仿宋_GB2312" w:hAnsi="仿宋_GB2312" w:cs="仿宋_GB2312" w:eastAsia="仿宋_GB2312"/>
        </w:rPr>
        <w:t>汉中市南郑区城镇开发边界优化调整方案编制服务采购项目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TZZB-HZ-2025371C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汉中市南郑区城镇开发边界优化调整方案编制服务采购项目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南郑区城镇开发边界优化调整方案编制服务采购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采购包1（汉中市南郑区城镇开发边界优化调整方案编制服务采购项目）：属于专门面向中小企业采购。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1、有效的主体资格证明：供应商为具有独立承担民事责任能力的企业法人、负责人或其他组织或自然人，并出具有效的营业执照或证明文件或自然人的身份证明。</w:t>
      </w:r>
    </w:p>
    <w:p>
      <w:pPr>
        <w:pStyle w:val="null3"/>
      </w:pPr>
      <w:r>
        <w:rPr>
          <w:rFonts w:ascii="仿宋_GB2312" w:hAnsi="仿宋_GB2312" w:cs="仿宋_GB2312" w:eastAsia="仿宋_GB2312"/>
        </w:rPr>
        <w:t>2、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供应商提供《汉中市政府采购供应商资格承诺函》。</w:t>
      </w:r>
    </w:p>
    <w:p>
      <w:pPr>
        <w:pStyle w:val="null3"/>
      </w:pPr>
      <w:r>
        <w:rPr>
          <w:rFonts w:ascii="仿宋_GB2312" w:hAnsi="仿宋_GB2312" w:cs="仿宋_GB2312" w:eastAsia="仿宋_GB2312"/>
        </w:rPr>
        <w:t>3、供应商应授权合法的人员参加本项目磋商活动全过程：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4、供应商的资格要求：供应商须具有城乡规划编制乙级及以上资质或土地规划乙级及以上资质。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汉中市自然资源局南郑分局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陕西省汉中市南郑区汉山街道办南环路3号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0916-5516558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 0165 5200 0000 0101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汉中市自然资源局南郑分局</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汉中市自然资源局南郑分局</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汉中市自然资源局南郑分局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按国家现行项目实施规范和合同规定的验收标准等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2022年9月30日自然资源部批准实施的“三区三线”划定成果基础上，依据《自然资源部关于做好城镇开发边界管理的通知（试行）自然资发〔2023〕193号》、《陕西省自然资源厅关于做好城镇开发边界调整优化工作的通知》、《陕西省自然资源厅关于加强城镇开发边界管理工作的通知（陕自然资发〔2024〕2号文》等文件精神以及汉中市相关工作安排，对南郑区城镇开发边界进行局部优化。合理确定城镇开发边界调入、调出图斑，城镇开发边界外零星城镇建设用地调整图斑，论述此次调整的必要性、可行性，确定城镇开发边界调整优化方案，并充分论证调整的合理性。 形成成果：调整方案、表格成果、图件成果、数据库成果，数据库成果需通过自然资源部质检软件质检。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城镇开发边界优化调整方案编制服务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标的名称：城镇开发边界优化调整方案编制服务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在2022年9月30日自然资源部批准实施的“三区三线”划定成果基础上，依据《自然资源部关于做好城镇开发边界管理的通知（试行）自然资发〔2023〕193号》、《陕西省自然资源厅关于做好城镇开发边界调整优化工作的通知》、《陕西省自然资源厅关于加强城镇开发边界管理工作的通知（陕自然资发〔2024〕2号文》等文件精神以及汉中市相关工作安排，对南郑区城镇开发边界进行局部优化。合理确定城镇开发边界调入、调出图斑，城镇开发边界外零星城镇建设用地调整图斑，论述此次调整的必要性、可行性，确定城镇开发边界调整优化方案，并充分论证调整的合理性。 形成成果：调整方案、表格成果、图件成果、数据库成果，数据库成果需通过自然资源部质检软件质检。</w:t>
            </w:r>
          </w:p>
          <w:p>
            <w:pPr>
              <w:pStyle w:val="null3"/>
            </w:pPr>
            <w:r>
              <w:rPr>
                <w:rFonts w:ascii="仿宋_GB2312" w:hAnsi="仿宋_GB2312" w:cs="仿宋_GB2312" w:eastAsia="仿宋_GB2312"/>
              </w:rPr>
              <w:t>一、编制背景</w:t>
            </w:r>
          </w:p>
          <w:p>
            <w:pPr>
              <w:pStyle w:val="null3"/>
            </w:pPr>
            <w:r>
              <w:rPr>
                <w:rFonts w:ascii="仿宋_GB2312" w:hAnsi="仿宋_GB2312" w:cs="仿宋_GB2312" w:eastAsia="仿宋_GB2312"/>
              </w:rPr>
              <w:t>为加强和规范城镇开发边界管理，运用好“三区三线”成果，结合南郑区实际，依据《自然资源部关于做好城镇开发边界管理的通知(试行)》(自然资发〔2023〕193号)、《自然资源部办公厅关于做好城镇开发边界管理成果数据汇交更新的函》(自然资办函〔2023〕2319号)、《陕西省自然资源厅关于加强城镇开发边界管理工作的通知》（陕自然资发〔2024〕2号文）等要求，在2022年9月30日自然资源部批准实施的“三区三线”划定成果基础上，进一步对南郑区城镇开发边界进行优化调整。</w:t>
            </w:r>
          </w:p>
          <w:p>
            <w:pPr>
              <w:pStyle w:val="null3"/>
            </w:pPr>
            <w:r>
              <w:rPr>
                <w:rFonts w:ascii="仿宋_GB2312" w:hAnsi="仿宋_GB2312" w:cs="仿宋_GB2312" w:eastAsia="仿宋_GB2312"/>
              </w:rPr>
              <w:t>二、编制范围</w:t>
            </w:r>
          </w:p>
          <w:p>
            <w:pPr>
              <w:pStyle w:val="null3"/>
            </w:pPr>
            <w:r>
              <w:rPr>
                <w:rFonts w:ascii="仿宋_GB2312" w:hAnsi="仿宋_GB2312" w:cs="仿宋_GB2312" w:eastAsia="仿宋_GB2312"/>
              </w:rPr>
              <w:t>南郑区全域。</w:t>
            </w:r>
          </w:p>
          <w:p>
            <w:pPr>
              <w:pStyle w:val="null3"/>
            </w:pPr>
            <w:r>
              <w:rPr>
                <w:rFonts w:ascii="仿宋_GB2312" w:hAnsi="仿宋_GB2312" w:cs="仿宋_GB2312" w:eastAsia="仿宋_GB2312"/>
              </w:rPr>
              <w:t>三、规划目标</w:t>
            </w:r>
          </w:p>
          <w:p>
            <w:pPr>
              <w:pStyle w:val="null3"/>
            </w:pPr>
            <w:r>
              <w:rPr>
                <w:rFonts w:ascii="仿宋_GB2312" w:hAnsi="仿宋_GB2312" w:cs="仿宋_GB2312" w:eastAsia="仿宋_GB2312"/>
              </w:rPr>
              <w:t>南郑区城镇开发边界优化调整后，城镇建设用地布局更加集约高效，亟需建设的项目用地得到有效保障，永久基本农田和生态保护红线不受影响，整体效益明显提高；南郑区城镇开发边界优化调整后扩展倍数、总规模不突破原“三区三线”划定的城镇开发边界扩展倍数以及总规模。</w:t>
            </w:r>
          </w:p>
          <w:p>
            <w:pPr>
              <w:pStyle w:val="null3"/>
            </w:pPr>
            <w:r>
              <w:rPr>
                <w:rFonts w:ascii="仿宋_GB2312" w:hAnsi="仿宋_GB2312" w:cs="仿宋_GB2312" w:eastAsia="仿宋_GB2312"/>
              </w:rPr>
              <w:t>四、规划依据</w:t>
            </w:r>
          </w:p>
          <w:p>
            <w:pPr>
              <w:pStyle w:val="null3"/>
            </w:pPr>
            <w:r>
              <w:rPr>
                <w:rFonts w:ascii="仿宋_GB2312" w:hAnsi="仿宋_GB2312" w:cs="仿宋_GB2312" w:eastAsia="仿宋_GB2312"/>
              </w:rPr>
              <w:t>《自然资源部关于做好城镇开发边界管理的通知(试行)》(自然资发〔2023〕193号)；</w:t>
            </w:r>
          </w:p>
          <w:p>
            <w:pPr>
              <w:pStyle w:val="null3"/>
            </w:pPr>
            <w:r>
              <w:rPr>
                <w:rFonts w:ascii="仿宋_GB2312" w:hAnsi="仿宋_GB2312" w:cs="仿宋_GB2312" w:eastAsia="仿宋_GB2312"/>
              </w:rPr>
              <w:t>《自然资源部办公厅关于做好城镇开发边界管理成果数据汇交更新的函》(自然资办函〔2023〕2319号)；</w:t>
            </w:r>
          </w:p>
          <w:p>
            <w:pPr>
              <w:pStyle w:val="null3"/>
            </w:pPr>
            <w:r>
              <w:rPr>
                <w:rFonts w:ascii="仿宋_GB2312" w:hAnsi="仿宋_GB2312" w:cs="仿宋_GB2312" w:eastAsia="仿宋_GB2312"/>
              </w:rPr>
              <w:t>《陕西省自然资源厅关于加强城镇开发边界管理工作的通知》（陕自然资发〔2024〕2号文）；</w:t>
            </w:r>
          </w:p>
          <w:p>
            <w:pPr>
              <w:pStyle w:val="null3"/>
            </w:pPr>
            <w:r>
              <w:rPr>
                <w:rFonts w:ascii="仿宋_GB2312" w:hAnsi="仿宋_GB2312" w:cs="仿宋_GB2312" w:eastAsia="仿宋_GB2312"/>
              </w:rPr>
              <w:t>相关法律法规及政策文件。</w:t>
            </w:r>
          </w:p>
          <w:p>
            <w:pPr>
              <w:pStyle w:val="null3"/>
            </w:pPr>
            <w:r>
              <w:rPr>
                <w:rFonts w:ascii="仿宋_GB2312" w:hAnsi="仿宋_GB2312" w:cs="仿宋_GB2312" w:eastAsia="仿宋_GB2312"/>
              </w:rPr>
              <w:t>五、工作内容</w:t>
            </w:r>
          </w:p>
          <w:p>
            <w:pPr>
              <w:pStyle w:val="null3"/>
            </w:pPr>
            <w:r>
              <w:rPr>
                <w:rFonts w:ascii="仿宋_GB2312" w:hAnsi="仿宋_GB2312" w:cs="仿宋_GB2312" w:eastAsia="仿宋_GB2312"/>
              </w:rPr>
              <w:t>（一）城镇开发边界调整原则</w:t>
            </w:r>
          </w:p>
          <w:p>
            <w:pPr>
              <w:pStyle w:val="null3"/>
            </w:pPr>
            <w:r>
              <w:rPr>
                <w:rFonts w:ascii="仿宋_GB2312" w:hAnsi="仿宋_GB2312" w:cs="仿宋_GB2312" w:eastAsia="仿宋_GB2312"/>
              </w:rPr>
              <w:t>（二）局部优化必要性分析</w:t>
            </w:r>
          </w:p>
          <w:p>
            <w:pPr>
              <w:pStyle w:val="null3"/>
            </w:pPr>
            <w:r>
              <w:rPr>
                <w:rFonts w:ascii="仿宋_GB2312" w:hAnsi="仿宋_GB2312" w:cs="仿宋_GB2312" w:eastAsia="仿宋_GB2312"/>
              </w:rPr>
              <w:t>（三）调入城镇开发边界图斑情况</w:t>
            </w:r>
          </w:p>
          <w:p>
            <w:pPr>
              <w:pStyle w:val="null3"/>
            </w:pPr>
            <w:r>
              <w:rPr>
                <w:rFonts w:ascii="仿宋_GB2312" w:hAnsi="仿宋_GB2312" w:cs="仿宋_GB2312" w:eastAsia="仿宋_GB2312"/>
              </w:rPr>
              <w:t>（四）城镇开发边界外零星城镇建设用地布局情况</w:t>
            </w:r>
          </w:p>
          <w:p>
            <w:pPr>
              <w:pStyle w:val="null3"/>
            </w:pPr>
            <w:r>
              <w:rPr>
                <w:rFonts w:ascii="仿宋_GB2312" w:hAnsi="仿宋_GB2312" w:cs="仿宋_GB2312" w:eastAsia="仿宋_GB2312"/>
              </w:rPr>
              <w:t>（五）调出城镇开发边界图斑情况</w:t>
            </w:r>
          </w:p>
          <w:p>
            <w:pPr>
              <w:pStyle w:val="null3"/>
            </w:pPr>
            <w:r>
              <w:rPr>
                <w:rFonts w:ascii="仿宋_GB2312" w:hAnsi="仿宋_GB2312" w:cs="仿宋_GB2312" w:eastAsia="仿宋_GB2312"/>
              </w:rPr>
              <w:t>（六）优化调整后城镇开发边界合理性分析</w:t>
            </w:r>
          </w:p>
          <w:p>
            <w:pPr>
              <w:pStyle w:val="null3"/>
            </w:pPr>
            <w:r>
              <w:rPr>
                <w:rFonts w:ascii="仿宋_GB2312" w:hAnsi="仿宋_GB2312" w:cs="仿宋_GB2312" w:eastAsia="仿宋_GB2312"/>
              </w:rPr>
              <w:t>（七）支撑文件</w:t>
            </w:r>
          </w:p>
          <w:p>
            <w:pPr>
              <w:pStyle w:val="null3"/>
            </w:pPr>
            <w:r>
              <w:rPr>
                <w:rFonts w:ascii="仿宋_GB2312" w:hAnsi="仿宋_GB2312" w:cs="仿宋_GB2312" w:eastAsia="仿宋_GB2312"/>
              </w:rPr>
              <w:t>六、规划成果</w:t>
            </w:r>
          </w:p>
          <w:p>
            <w:pPr>
              <w:pStyle w:val="null3"/>
            </w:pPr>
            <w:r>
              <w:rPr>
                <w:rFonts w:ascii="仿宋_GB2312" w:hAnsi="仿宋_GB2312" w:cs="仿宋_GB2312" w:eastAsia="仿宋_GB2312"/>
              </w:rPr>
              <w:t>规划成果主要包括调整方案（文本）、图集、数据库等，涉及的文、图、表、数、库应保持一致，数据库需通过省厅质检软件质检。</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经过省厅质检备案后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5.成交人应在合同签订后3个工作日内安排人员就项目实施工作进行安排部署。 6.若未能在服务期限内完成合同规定的义务，由此对采购人造成的延误和一切损失，由成交人承担和赔偿。 7.按《中华人民共和国民法典》中的相关条款执行。 8.未按合同要求提供服务或质量标准不能满足技术要求，采购人有权终止合同，并对成交人违约行为进行追究，同时按《中华人民共和国政府采购法》的有关规定进行处罚。 二、解决争议的方法：执行本合同过程中发生争议，应友好协商解决，协商不成的，可协商或由有关部门调解解决，协商或调解不成的，可向采购方所在地仲裁委员会提起诉讼。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汉中市汉台区西一环路蓝天御苑小区商铺二层门面房南侧。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供应商为具有独立承担民事责任能力的企业法人、负责人或其他组织或自然人，并出具有效的营业执照或证明文件或自然人的身份证明。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供应商应授权合法的人员参加本项目磋商活动全过程</w:t>
            </w:r>
          </w:p>
        </w:tc>
        <w:tc>
          <w:tcPr>
            <w:tcW w:type="dxa" w:w="3322"/>
          </w:tcPr>
          <w:p>
            <w:pPr>
              <w:pStyle w:val="null3"/>
            </w:pPr>
            <w:r>
              <w:rPr>
                <w:rFonts w:ascii="仿宋_GB2312" w:hAnsi="仿宋_GB2312" w:cs="仿宋_GB2312" w:eastAsia="仿宋_GB2312"/>
              </w:rPr>
              <w:t>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供应商的资格要求</w:t>
            </w:r>
          </w:p>
        </w:tc>
        <w:tc>
          <w:tcPr>
            <w:tcW w:type="dxa" w:w="3322"/>
          </w:tcPr>
          <w:p>
            <w:pPr>
              <w:pStyle w:val="null3"/>
            </w:pPr>
            <w:r>
              <w:rPr>
                <w:rFonts w:ascii="仿宋_GB2312" w:hAnsi="仿宋_GB2312" w:cs="仿宋_GB2312" w:eastAsia="仿宋_GB2312"/>
              </w:rPr>
              <w:t>供应商须具有城乡规划编制乙级及以上资质或土地规划乙级及以上资质。</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符合竞争性磋商文件内要求。</w:t>
            </w:r>
          </w:p>
        </w:tc>
        <w:tc>
          <w:tcPr>
            <w:tcW w:type="dxa" w:w="1661"/>
          </w:tcPr>
          <w:p>
            <w:pPr>
              <w:pStyle w:val="null3"/>
            </w:pPr>
            <w:r>
              <w:rPr>
                <w:rFonts w:ascii="仿宋_GB2312" w:hAnsi="仿宋_GB2312" w:cs="仿宋_GB2312" w:eastAsia="仿宋_GB2312"/>
              </w:rPr>
              <w:t>响应文件封面 分项报价表 中小企业声明函 残疾人福利性单位声明函 标的清单 供应商应提交的相关资格证明材料 报价表 其他材料及供应商认为有必要说明、阐述的事项 总服务方案等 响应函 磋商项目技术、服务、商务及其他要求应答表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签字及盖章</w:t>
            </w:r>
          </w:p>
        </w:tc>
        <w:tc>
          <w:tcPr>
            <w:tcW w:type="dxa" w:w="3322"/>
          </w:tcPr>
          <w:p>
            <w:pPr>
              <w:pStyle w:val="null3"/>
            </w:pPr>
            <w:r>
              <w:rPr>
                <w:rFonts w:ascii="仿宋_GB2312" w:hAnsi="仿宋_GB2312" w:cs="仿宋_GB2312" w:eastAsia="仿宋_GB2312"/>
              </w:rPr>
              <w:t>符合竞争性磋商文件中给出的格式要求。</w:t>
            </w:r>
          </w:p>
        </w:tc>
        <w:tc>
          <w:tcPr>
            <w:tcW w:type="dxa" w:w="1661"/>
          </w:tcPr>
          <w:p>
            <w:pPr>
              <w:pStyle w:val="null3"/>
            </w:pPr>
            <w:r>
              <w:rPr>
                <w:rFonts w:ascii="仿宋_GB2312" w:hAnsi="仿宋_GB2312" w:cs="仿宋_GB2312" w:eastAsia="仿宋_GB2312"/>
              </w:rPr>
              <w:t>响应文件封面 分项报价表 中小企业声明函 残疾人福利性单位声明函 标的清单 供应商应提交的相关资格证明材料 报价表 其他材料及供应商认为有必要说明、阐述的事项 总服务方案等 响应函 磋商项目技术、服务、商务及其他要求应答表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磋商项目技术、服务、商务及其他要求应答表</w:t>
            </w:r>
          </w:p>
        </w:tc>
        <w:tc>
          <w:tcPr>
            <w:tcW w:type="dxa" w:w="3322"/>
          </w:tcPr>
          <w:p>
            <w:pPr>
              <w:pStyle w:val="null3"/>
            </w:pPr>
            <w:r>
              <w:rPr>
                <w:rFonts w:ascii="仿宋_GB2312" w:hAnsi="仿宋_GB2312" w:cs="仿宋_GB2312" w:eastAsia="仿宋_GB2312"/>
              </w:rPr>
              <w:t>符合竞争性磋商文件中给出的格式填写要求。</w:t>
            </w:r>
          </w:p>
        </w:tc>
        <w:tc>
          <w:tcPr>
            <w:tcW w:type="dxa" w:w="1661"/>
          </w:tcPr>
          <w:p>
            <w:pPr>
              <w:pStyle w:val="null3"/>
            </w:pPr>
            <w:r>
              <w:rPr>
                <w:rFonts w:ascii="仿宋_GB2312" w:hAnsi="仿宋_GB2312" w:cs="仿宋_GB2312" w:eastAsia="仿宋_GB2312"/>
              </w:rPr>
              <w:t>磋商项目技术、服务、商务及其他要求应答表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（1）项目部组成人员具备土地规划或城乡规划等相关专业中级及以上技术职称5 人，得5分; （以响应文件内职称证复印件加盖公章为评审依据），否则不计分。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总服务方案等</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针对本采购项目及采购人实际需求，提供设备配置： （1）列明拟投入本项目实施所需设备配置清单，提供有设备的完整的购置发票或租赁协议等证明材料，完全满足采购需求计7分； （2）列明拟投入本项目实施所需设备配置清单，但提供设备的购置发票或租赁协议等证明材料不齐全的计4分，不计分。 （3）未列明拟投入本项目实施所需设备配置清单或提供设备的购置发票或租赁协议等证明材料不齐全计2分，未提供不计分。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总服务方案等</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2023年10月1日至响应文件提交时间截止前类似项目业绩，提供合同复印件加盖公章，合同以签订日期为准，每提供一份合同计2分，此项共计4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总服务方案等</w:t>
            </w:r>
          </w:p>
        </w:tc>
      </w:tr>
      <w:tr>
        <w:tc>
          <w:tcPr>
            <w:tcW w:type="dxa" w:w="831"/>
            <w:vMerge/>
          </w:tcPr>
          <w:p/>
        </w:tc>
        <w:tc>
          <w:tcPr>
            <w:tcW w:type="dxa" w:w="1661"/>
          </w:tcPr>
          <w:p>
            <w:pPr>
              <w:pStyle w:val="null3"/>
            </w:pPr>
            <w:r>
              <w:rPr>
                <w:rFonts w:ascii="仿宋_GB2312" w:hAnsi="仿宋_GB2312" w:cs="仿宋_GB2312" w:eastAsia="仿宋_GB2312"/>
              </w:rPr>
              <w:t>总体要求方案</w:t>
            </w:r>
          </w:p>
        </w:tc>
        <w:tc>
          <w:tcPr>
            <w:tcW w:type="dxa" w:w="2492"/>
          </w:tcPr>
          <w:p>
            <w:pPr>
              <w:pStyle w:val="null3"/>
            </w:pPr>
            <w:r>
              <w:rPr>
                <w:rFonts w:ascii="仿宋_GB2312" w:hAnsi="仿宋_GB2312" w:cs="仿宋_GB2312" w:eastAsia="仿宋_GB2312"/>
              </w:rPr>
              <w:t>一、评审内容:针对本项目提供详细的总体要求方案包括：①项目理解；②工作思路；③工作原则；④合理化建议。二、评审标准： （1）完整性：对上述各项内容均有描述，得4分；每缺1项扣1分，扣完为止。（2）针对性：上述各项内容针对性强，每项内容得2分；针对性一般，每项内容得1分；缺乏针对性，每项内容得0分。（3）可实施性：上述各项内容可实施性强，每项内容得2分；可实施性一般，每项内容得1分；缺乏可实施性，每项内容得0分。 此项不提供不得分。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总服务方案等</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提供详细的服务方案包括：①城镇开发边界调整原则②局部优化必要性分析；③调入城镇开发边界图斑情况；④城镇开发边界外零星城镇建设用地布局情况；⑤调出城镇开发边界图斑情况；⑥优化调整后城镇开发边界合理性论证分析。二、评审标准： （1）完整性：对上述各项内容均有描述，得6分；每缺1项扣1分，扣完为止。（2）针对性：上述各项内容针对性强，每项内容得2分；针对性一般，每项内容得1分；缺乏针对性，每项内容得0分。（3）可实施性：上述各项内容可实施性强，每项内容得2分；可实施性一般，每项内容得1分；缺乏可实施性，每项内容得0分。 此项不提供不得分。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总服务方案等</w:t>
            </w:r>
          </w:p>
        </w:tc>
      </w:tr>
      <w:tr>
        <w:tc>
          <w:tcPr>
            <w:tcW w:type="dxa" w:w="831"/>
            <w:vMerge/>
          </w:tcPr>
          <w:p/>
        </w:tc>
        <w:tc>
          <w:tcPr>
            <w:tcW w:type="dxa" w:w="1661"/>
          </w:tcPr>
          <w:p>
            <w:pPr>
              <w:pStyle w:val="null3"/>
            </w:pPr>
            <w:r>
              <w:rPr>
                <w:rFonts w:ascii="仿宋_GB2312" w:hAnsi="仿宋_GB2312" w:cs="仿宋_GB2312" w:eastAsia="仿宋_GB2312"/>
              </w:rPr>
              <w:t>重点难点 分析方案</w:t>
            </w:r>
          </w:p>
        </w:tc>
        <w:tc>
          <w:tcPr>
            <w:tcW w:type="dxa" w:w="2492"/>
          </w:tcPr>
          <w:p>
            <w:pPr>
              <w:pStyle w:val="null3"/>
            </w:pPr>
            <w:r>
              <w:rPr>
                <w:rFonts w:ascii="仿宋_GB2312" w:hAnsi="仿宋_GB2312" w:cs="仿宋_GB2312" w:eastAsia="仿宋_GB2312"/>
              </w:rPr>
              <w:t>一、评审内容:针对本项目提供详细的重难点分析方案包括：①在项目实施过程中提出容易出错或忽略的重点、难点分析；②针对所提出的重点、难点有相应的解决方案。二、评审标准： （1）完整性：对上述各项内容均有描述，得2分；每缺1项扣1分，扣完为止。（2）针对性：上述各项内容针对性强，每项内容得1分；针对性一般，每项内容得0.5分；缺乏针对性，每项内容得0分。（3）可实施性：上述各项内容可实施性强，每项内容得1分；可实施性一般，每项内容得0.5分；缺乏可实施性，每项内容得0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总服务方案等</w:t>
            </w:r>
          </w:p>
        </w:tc>
      </w:tr>
      <w:tr>
        <w:tc>
          <w:tcPr>
            <w:tcW w:type="dxa" w:w="831"/>
            <w:vMerge/>
          </w:tcPr>
          <w:p/>
        </w:tc>
        <w:tc>
          <w:tcPr>
            <w:tcW w:type="dxa" w:w="1661"/>
          </w:tcPr>
          <w:p>
            <w:pPr>
              <w:pStyle w:val="null3"/>
            </w:pPr>
            <w:r>
              <w:rPr>
                <w:rFonts w:ascii="仿宋_GB2312" w:hAnsi="仿宋_GB2312" w:cs="仿宋_GB2312" w:eastAsia="仿宋_GB2312"/>
              </w:rPr>
              <w:t>进度组织 安排及成果方案</w:t>
            </w:r>
          </w:p>
        </w:tc>
        <w:tc>
          <w:tcPr>
            <w:tcW w:type="dxa" w:w="2492"/>
          </w:tcPr>
          <w:p>
            <w:pPr>
              <w:pStyle w:val="null3"/>
            </w:pPr>
            <w:r>
              <w:rPr>
                <w:rFonts w:ascii="仿宋_GB2312" w:hAnsi="仿宋_GB2312" w:cs="仿宋_GB2312" w:eastAsia="仿宋_GB2312"/>
              </w:rPr>
              <w:t>一、评审内容:针对本项目提供详细的进度组织安排及成果方案包括：①项目进度安排；②组织协调措施；③成果质量保证措施。二、评审标准： （1）完整性：对上述各项内容均有描述，得3分；每缺1项扣1分，扣完为止。（2）针对性：上述各项内容针对性强，每项内容得1分；针对性一般，每项内容得0.5分；缺乏针对性，每项内容得0分。（3）可实施性：上述各项内容可实施性强，每项内容得1分；可实施性一般，每项内容得0.5分；缺乏可实施性，每项内容得0分。 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总服务方案等</w:t>
            </w:r>
          </w:p>
        </w:tc>
      </w:tr>
      <w:tr>
        <w:tc>
          <w:tcPr>
            <w:tcW w:type="dxa" w:w="831"/>
            <w:vMerge/>
          </w:tcPr>
          <w:p/>
        </w:tc>
        <w:tc>
          <w:tcPr>
            <w:tcW w:type="dxa" w:w="1661"/>
          </w:tcPr>
          <w:p>
            <w:pPr>
              <w:pStyle w:val="null3"/>
            </w:pPr>
            <w:r>
              <w:rPr>
                <w:rFonts w:ascii="仿宋_GB2312" w:hAnsi="仿宋_GB2312" w:cs="仿宋_GB2312" w:eastAsia="仿宋_GB2312"/>
              </w:rPr>
              <w:t>应急保密及验收措施</w:t>
            </w:r>
          </w:p>
        </w:tc>
        <w:tc>
          <w:tcPr>
            <w:tcW w:type="dxa" w:w="2492"/>
          </w:tcPr>
          <w:p>
            <w:pPr>
              <w:pStyle w:val="null3"/>
            </w:pPr>
            <w:r>
              <w:rPr>
                <w:rFonts w:ascii="仿宋_GB2312" w:hAnsi="仿宋_GB2312" w:cs="仿宋_GB2312" w:eastAsia="仿宋_GB2312"/>
              </w:rPr>
              <w:t>一、评审内容:针对本项目提供详细的应急保密及验收措施包括：①应急方案及措施；②保密措施；③验收措施。二、评审标准： （1）完整性：对上述各项内容均有描述，得3分；每缺1项扣1分，扣完为止。（2）针对性：上述各项内容针对性强，每项内容得1分；针对性一般，每项内容得0.5分；缺乏针对性，每项内容得0分。（3）可实施性：上述各项内容可实施性强，每项内容得1分；可实施性一般，每项内容得0.5分；缺乏可实施性，每项内容得0分。 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总服务方案等</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1、上限为采购预算价，即报价大于上限价视为无效报价； 2、以满足本次磋商文件要求的最低报价为评审基准价，其价格为满分； 3、磋商供应商报价得分=（评审基准价/最后报价）×10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详见附件：磋商项目技术、服务、商务及其他要求应答表</w:t>
      </w:r>
    </w:p>
    <w:p>
      <w:pPr>
        <w:pStyle w:val="null3"/>
        <w:ind w:firstLine="960"/>
      </w:pPr>
      <w:r>
        <w:rPr>
          <w:rFonts w:ascii="仿宋_GB2312" w:hAnsi="仿宋_GB2312" w:cs="仿宋_GB2312" w:eastAsia="仿宋_GB2312"/>
        </w:rPr>
        <w:t>详见附件：总服务方案等</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