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版本号：YSY2025-CG-03320251219001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碑坝镇梁堂村桑树湾至炉家湾2025年联网道路工程建设项目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YSY2025-CG-033</w:t>
      </w:r>
      <w:r>
        <w:br/>
      </w:r>
      <w:r>
        <w:br/>
      </w:r>
      <w:r>
        <w:br/>
      </w:r>
    </w:p>
    <w:p>
      <w:pPr>
        <w:pStyle w:val="null3"/>
        <w:jc w:val="center"/>
        <w:outlineLvl w:val="2"/>
      </w:pPr>
      <w:r>
        <w:rPr>
          <w:rFonts w:ascii="仿宋_GB2312" w:hAnsi="仿宋_GB2312" w:cs="仿宋_GB2312" w:eastAsia="仿宋_GB2312"/>
          <w:sz w:val="28"/>
          <w:b/>
        </w:rPr>
        <w:t>汉中市南郑区碑坝镇人民政府</w:t>
      </w:r>
    </w:p>
    <w:p>
      <w:pPr>
        <w:pStyle w:val="null3"/>
        <w:jc w:val="center"/>
        <w:outlineLvl w:val="2"/>
      </w:pPr>
      <w:r>
        <w:rPr>
          <w:rFonts w:ascii="仿宋_GB2312" w:hAnsi="仿宋_GB2312" w:cs="仿宋_GB2312" w:eastAsia="仿宋_GB2312"/>
          <w:sz w:val="28"/>
          <w:b/>
        </w:rPr>
        <w:t>陕西亿胜元项目管理有限公司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陕西亿胜元项目管理有限公司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汉中市南郑区碑坝镇人民政府</w:t>
      </w:r>
      <w:r>
        <w:rPr>
          <w:rFonts w:ascii="仿宋_GB2312" w:hAnsi="仿宋_GB2312" w:cs="仿宋_GB2312" w:eastAsia="仿宋_GB2312"/>
        </w:rPr>
        <w:t>委托，拟对</w:t>
      </w:r>
      <w:r>
        <w:rPr>
          <w:rFonts w:ascii="仿宋_GB2312" w:hAnsi="仿宋_GB2312" w:cs="仿宋_GB2312" w:eastAsia="仿宋_GB2312"/>
        </w:rPr>
        <w:t>碑坝镇梁堂村桑树湾至炉家湾2025年联网道路工程建设项目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YSY2025-CG-033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碑坝镇梁堂村桑树湾至炉家湾2025年联网道路工程建设项目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该项目位于碑坝镇梁堂村，起点位于桑树湾，终点位于炉家湾，路线全长1.65公里。主要建设内容：土边沟，路面结构形式：18厘米水泥混凝土面层（4.0Mpa）+16厘米石灰稳定细粒土基层，新建圆管涵等。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采购包1（碑坝镇梁堂村桑树湾至炉家湾2025年联网道路工程建设项目）：属于专门面向中小企业采购。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1、营业执照：供应商为具有独立承担民事责任能力的企业法人、事业法人、其他组织，提供营业执照（事业单位须事业单位法人证、组织机构代码证等证明文件；其他组织应提供合法证明文件）；</w:t>
      </w:r>
    </w:p>
    <w:p>
      <w:pPr>
        <w:pStyle w:val="null3"/>
      </w:pPr>
      <w:r>
        <w:rPr>
          <w:rFonts w:ascii="仿宋_GB2312" w:hAnsi="仿宋_GB2312" w:cs="仿宋_GB2312" w:eastAsia="仿宋_GB2312"/>
        </w:rPr>
        <w:t>2、法定代表人身份证明或授权委托书：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3、供应商资质：供应商具有行政主管部门核发的公路工程施工总承包三级（含三级）及以上资质，且具有有效的安全生产许可证；</w:t>
      </w:r>
    </w:p>
    <w:p>
      <w:pPr>
        <w:pStyle w:val="null3"/>
      </w:pPr>
      <w:r>
        <w:rPr>
          <w:rFonts w:ascii="仿宋_GB2312" w:hAnsi="仿宋_GB2312" w:cs="仿宋_GB2312" w:eastAsia="仿宋_GB2312"/>
        </w:rPr>
        <w:t>4、拟派项目负责人资格要求：拟派项目经理须具备公路工程专业二级（含二级）以上注册建造师资格和安全生产考核合格B证，且无在建项目；</w:t>
      </w:r>
    </w:p>
    <w:p>
      <w:pPr>
        <w:pStyle w:val="null3"/>
      </w:pPr>
      <w:r>
        <w:rPr>
          <w:rFonts w:ascii="仿宋_GB2312" w:hAnsi="仿宋_GB2312" w:cs="仿宋_GB2312" w:eastAsia="仿宋_GB2312"/>
        </w:rPr>
        <w:t>5、供应商资格承诺函：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6、非联合体投标声明及无关联关系：本项目不接受联合体磋商；单位负责人为同一人或者存在控股、管理关系的不同单位，不得参加同一项目的响应。</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汉中市南郑区碑坝镇人民政府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南郑区碑坝镇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汉中市南郑区碑坝镇人民政府经办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17319663455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陕西亿胜元项目管理有限公司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陕西省汉中市汉台区东一环与风景路交汇处中饮办公中心C区-8F</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鲁工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0916-2102199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开户名称：陕西亿胜元项目管理有限公司</w:t>
            </w:r>
          </w:p>
          <w:p>
            <w:pPr>
              <w:pStyle w:val="null3"/>
            </w:pPr>
            <w:r>
              <w:rPr>
                <w:rFonts w:ascii="仿宋_GB2312" w:hAnsi="仿宋_GB2312" w:cs="仿宋_GB2312" w:eastAsia="仿宋_GB2312"/>
              </w:rPr>
              <w:t>开户银行：中国银行汉中莲湖路支行</w:t>
            </w:r>
          </w:p>
          <w:p>
            <w:pPr>
              <w:pStyle w:val="null3"/>
            </w:pPr>
            <w:r>
              <w:rPr>
                <w:rFonts w:ascii="仿宋_GB2312" w:hAnsi="仿宋_GB2312" w:cs="仿宋_GB2312" w:eastAsia="仿宋_GB2312"/>
              </w:rPr>
              <w:t>银行账号：102513126064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汉中市南郑区碑坝镇人民政府</w:t>
      </w:r>
      <w:r>
        <w:rPr>
          <w:rFonts w:ascii="仿宋_GB2312" w:hAnsi="仿宋_GB2312" w:cs="仿宋_GB2312" w:eastAsia="仿宋_GB2312"/>
        </w:rPr>
        <w:t>和</w:t>
      </w:r>
      <w:r>
        <w:rPr>
          <w:rFonts w:ascii="仿宋_GB2312" w:hAnsi="仿宋_GB2312" w:cs="仿宋_GB2312" w:eastAsia="仿宋_GB2312"/>
        </w:rPr>
        <w:t>陕西亿胜元项目管理有限公司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汉中市南郑区碑坝镇人民政府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陕西亿胜元项目管理有限公司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汉中市南郑区碑坝镇人民政府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陕西亿胜元项目管理有限公司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符合国家规定及相关标准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陕西亿胜元项目管理有限公司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陕西亿胜元项目管理有限公司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陕西亿胜元项目管理有限公司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联系人：鲁工</w:t>
      </w:r>
    </w:p>
    <w:p>
      <w:pPr>
        <w:pStyle w:val="null3"/>
      </w:pPr>
      <w:r>
        <w:rPr>
          <w:rFonts w:ascii="仿宋_GB2312" w:hAnsi="仿宋_GB2312" w:cs="仿宋_GB2312" w:eastAsia="仿宋_GB2312"/>
        </w:rPr>
        <w:t>联系电话：0916-2102199</w:t>
      </w:r>
    </w:p>
    <w:p>
      <w:pPr>
        <w:pStyle w:val="null3"/>
      </w:pPr>
      <w:r>
        <w:rPr>
          <w:rFonts w:ascii="仿宋_GB2312" w:hAnsi="仿宋_GB2312" w:cs="仿宋_GB2312" w:eastAsia="仿宋_GB2312"/>
        </w:rPr>
        <w:t>地址：汉中市汉台区东一环与风景路交汇处中饮办公中心C区-8F</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820,000.00</w:t>
      </w:r>
    </w:p>
    <w:p>
      <w:pPr>
        <w:pStyle w:val="null3"/>
      </w:pPr>
      <w:r>
        <w:rPr>
          <w:rFonts w:ascii="仿宋_GB2312" w:hAnsi="仿宋_GB2312" w:cs="仿宋_GB2312" w:eastAsia="仿宋_GB2312"/>
        </w:rPr>
        <w:t>采购包最高限价（元）: 770,757.29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碑坝镇梁堂村桑树湾至炉家湾2025年联网道路工程建设项目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820,000.00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标的名称：碑坝镇梁堂村桑树湾至炉家湾2025年联网道路工程建设项目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、工程概况：</w:t>
            </w:r>
          </w:p>
          <w:p>
            <w:pPr>
              <w:pStyle w:val="null3"/>
              <w:jc w:val="both"/>
            </w:pPr>
            <w:r>
              <w:rPr>
                <w:rFonts w:ascii="仿宋_GB2312" w:hAnsi="仿宋_GB2312" w:cs="仿宋_GB2312" w:eastAsia="仿宋_GB2312"/>
                <w:sz w:val="24"/>
              </w:rPr>
              <w:t>碑坝镇梁堂村桑树湾至炉家湾</w:t>
            </w:r>
            <w:r>
              <w:rPr>
                <w:rFonts w:ascii="仿宋_GB2312" w:hAnsi="仿宋_GB2312" w:cs="仿宋_GB2312" w:eastAsia="仿宋_GB2312"/>
                <w:sz w:val="24"/>
              </w:rPr>
              <w:t>2025</w:t>
            </w:r>
            <w:r>
              <w:rPr>
                <w:rFonts w:ascii="仿宋_GB2312" w:hAnsi="仿宋_GB2312" w:cs="仿宋_GB2312" w:eastAsia="仿宋_GB2312"/>
                <w:sz w:val="24"/>
              </w:rPr>
              <w:t>年联网道路工程建设项目，该项目位于碑坝镇梁堂村，起点位于桑树湾，终点位于炉家湾，路线全长</w:t>
            </w:r>
            <w:r>
              <w:rPr>
                <w:rFonts w:ascii="仿宋_GB2312" w:hAnsi="仿宋_GB2312" w:cs="仿宋_GB2312" w:eastAsia="仿宋_GB2312"/>
                <w:sz w:val="24"/>
              </w:rPr>
              <w:t>1.65</w:t>
            </w:r>
            <w:r>
              <w:rPr>
                <w:rFonts w:ascii="仿宋_GB2312" w:hAnsi="仿宋_GB2312" w:cs="仿宋_GB2312" w:eastAsia="仿宋_GB2312"/>
                <w:sz w:val="24"/>
              </w:rPr>
              <w:t>公里。主要建设内容：土边沟，路面结构形式：</w:t>
            </w:r>
            <w:r>
              <w:rPr>
                <w:rFonts w:ascii="仿宋_GB2312" w:hAnsi="仿宋_GB2312" w:cs="仿宋_GB2312" w:eastAsia="仿宋_GB2312"/>
                <w:sz w:val="24"/>
              </w:rPr>
              <w:t>18</w:t>
            </w:r>
            <w:r>
              <w:rPr>
                <w:rFonts w:ascii="仿宋_GB2312" w:hAnsi="仿宋_GB2312" w:cs="仿宋_GB2312" w:eastAsia="仿宋_GB2312"/>
                <w:sz w:val="24"/>
              </w:rPr>
              <w:t>厘米水泥混凝土面层（</w:t>
            </w:r>
            <w:r>
              <w:rPr>
                <w:rFonts w:ascii="仿宋_GB2312" w:hAnsi="仿宋_GB2312" w:cs="仿宋_GB2312" w:eastAsia="仿宋_GB2312"/>
                <w:sz w:val="24"/>
              </w:rPr>
              <w:t>4.0Mpa</w:t>
            </w: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厘米石灰稳定细粒土基层，新建圆管涵等。</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计划工期：合同签订后</w:t>
            </w:r>
            <w:r>
              <w:rPr>
                <w:rFonts w:ascii="仿宋_GB2312" w:hAnsi="仿宋_GB2312" w:cs="仿宋_GB2312" w:eastAsia="仿宋_GB2312"/>
                <w:sz w:val="24"/>
              </w:rPr>
              <w:t>60</w:t>
            </w:r>
            <w:r>
              <w:rPr>
                <w:rFonts w:ascii="仿宋_GB2312" w:hAnsi="仿宋_GB2312" w:cs="仿宋_GB2312" w:eastAsia="仿宋_GB2312"/>
                <w:sz w:val="24"/>
              </w:rPr>
              <w:t>日历天</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质量目标：合格</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公路工程行业技术规范标准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供应商为具有独立承担民事责任能力的企业法人、事业法人、其他组织，提供营业执照（事业单位须事业单位法人证、组织机构代码证等证明文件；其他组织应提供合法证明文件）；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供应商具有行政主管部门核发的公路工程施工总承包三级（含三级）及以上资质，且具有有效的安全生产许可证；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拟派项目负责人资格要求</w:t>
            </w:r>
          </w:p>
        </w:tc>
        <w:tc>
          <w:tcPr>
            <w:tcW w:type="dxa" w:w="3322"/>
          </w:tcPr>
          <w:p>
            <w:pPr>
              <w:pStyle w:val="null3"/>
            </w:pPr>
            <w:r>
              <w:rPr>
                <w:rFonts w:ascii="仿宋_GB2312" w:hAnsi="仿宋_GB2312" w:cs="仿宋_GB2312" w:eastAsia="仿宋_GB2312"/>
              </w:rPr>
              <w:t>拟派项目经理须具备公路工程专业二级（含二级）以上注册建造师资格和安全生产考核合格B证，且无在建项目；</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非联合体投标声明及无关联关系</w:t>
            </w:r>
          </w:p>
        </w:tc>
        <w:tc>
          <w:tcPr>
            <w:tcW w:type="dxa" w:w="3322"/>
          </w:tcPr>
          <w:p>
            <w:pPr>
              <w:pStyle w:val="null3"/>
            </w:pPr>
            <w:r>
              <w:rPr>
                <w:rFonts w:ascii="仿宋_GB2312" w:hAnsi="仿宋_GB2312" w:cs="仿宋_GB2312" w:eastAsia="仿宋_GB2312"/>
              </w:rPr>
              <w:t>本项目不接受联合体磋商；单位负责人为同一人或者存在控股、管理关系的不同单位，不得参加同一项目的响应。</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应满足磋商文件的要求</w:t>
            </w:r>
          </w:p>
        </w:tc>
        <w:tc>
          <w:tcPr>
            <w:tcW w:type="dxa" w:w="1661"/>
          </w:tcPr>
          <w:p>
            <w:pPr>
              <w:pStyle w:val="null3"/>
            </w:pPr>
            <w:r>
              <w:rPr>
                <w:rFonts w:ascii="仿宋_GB2312" w:hAnsi="仿宋_GB2312" w:cs="仿宋_GB2312" w:eastAsia="仿宋_GB2312"/>
              </w:rPr>
              <w:t>技术响应方案.docx 报价函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技术响应方案.docx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响应文件有法定代表人或授权委托人的签字或盖章并加盖投标供应商公章</w:t>
            </w:r>
          </w:p>
        </w:tc>
        <w:tc>
          <w:tcPr>
            <w:tcW w:type="dxa" w:w="1661"/>
          </w:tcPr>
          <w:p>
            <w:pPr>
              <w:pStyle w:val="null3"/>
            </w:pPr>
            <w:r>
              <w:rPr>
                <w:rFonts w:ascii="仿宋_GB2312" w:hAnsi="仿宋_GB2312" w:cs="仿宋_GB2312" w:eastAsia="仿宋_GB2312"/>
              </w:rPr>
              <w:t>已标价工程量清单 中小企业声明函 供应商认为需要提供的其他内容.docx 供应商承诺书.docx 响应文件封面 项目组成人员配备表.docx 供应商应提交的相关资格证明材料.docx 技术响应方案.docx 残疾人福利性单位声明函 报价函 标的清单 供应商类似项目业绩一览表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按照磋商文件要求提交了保证金</w:t>
            </w:r>
          </w:p>
        </w:tc>
        <w:tc>
          <w:tcPr>
            <w:tcW w:type="dxa" w:w="1661"/>
          </w:tcPr>
          <w:p>
            <w:pPr>
              <w:pStyle w:val="null3"/>
            </w:pPr>
            <w:r>
              <w:rPr>
                <w:rFonts w:ascii="仿宋_GB2312" w:hAnsi="仿宋_GB2312" w:cs="仿宋_GB2312" w:eastAsia="仿宋_GB2312"/>
              </w:rPr>
              <w:t>响应文件封面 供应商认为需要提供的其他内容.docx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总体施工方案</w:t>
            </w:r>
          </w:p>
        </w:tc>
        <w:tc>
          <w:tcPr>
            <w:tcW w:type="dxa" w:w="2492"/>
          </w:tcPr>
          <w:p>
            <w:pPr>
              <w:pStyle w:val="null3"/>
            </w:pPr>
            <w:r>
              <w:rPr>
                <w:rFonts w:ascii="仿宋_GB2312" w:hAnsi="仿宋_GB2312" w:cs="仿宋_GB2312" w:eastAsia="仿宋_GB2312"/>
              </w:rPr>
              <w:t>供应商对该项目实施的重点、难点进行分析，对易发生质量通病、易出现安全问题、施工难度大、技术含量高的部分进行说明并给出施工保障措施和专项技术方案（含主要施工方法、组织措施等）。 ①．方案较详实，能贴合实际情况及技术标准，实用性一般，得 1-4 分； ②．方案较详实，贴合现场情况及施工标准，实用性较强，得 4.1-7 分； ③.方案详实，贴合现场情况及施工标准，实用性强，得 7.1-10 分； 此项未提供不得分。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工程质量保证体系及措施</w:t>
            </w:r>
          </w:p>
        </w:tc>
        <w:tc>
          <w:tcPr>
            <w:tcW w:type="dxa" w:w="2492"/>
          </w:tcPr>
          <w:p>
            <w:pPr>
              <w:pStyle w:val="null3"/>
            </w:pPr>
            <w:r>
              <w:rPr>
                <w:rFonts w:ascii="仿宋_GB2312" w:hAnsi="仿宋_GB2312" w:cs="仿宋_GB2312" w:eastAsia="仿宋_GB2312"/>
              </w:rPr>
              <w:t>①.工程质量管理体系及保证措施编制科学合理、 基本符合技术规范、质量标准得 1-3 分； ②．工程质量管理体系及保证措施编制科学较合理、较详尽、较符合技术规范、质量标准得 3.1-5 分； ③.工程质量管理体系及保证措施编制科学合理、完整详尽、全面符合技术规范、质量标准得 5.1-8 分； 此项未提供不得分。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安全生产管理体系及保证措施</w:t>
            </w:r>
          </w:p>
        </w:tc>
        <w:tc>
          <w:tcPr>
            <w:tcW w:type="dxa" w:w="2492"/>
          </w:tcPr>
          <w:p>
            <w:pPr>
              <w:pStyle w:val="null3"/>
            </w:pPr>
            <w:r>
              <w:rPr>
                <w:rFonts w:ascii="仿宋_GB2312" w:hAnsi="仿宋_GB2312" w:cs="仿宋_GB2312" w:eastAsia="仿宋_GB2312"/>
              </w:rPr>
              <w:t>①.安全生产管理体系及保证措施基本合理，具有一定的可行性,得 1-3 分； ②.安全生产管理体系及保证措施较合理，可行性较强，得 3.1-5 分； ③.安全生产管理体系及保证措施合理、可行性强，得 5.1-8 分；此项未提供不得分。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工期保证体系及保证措施</w:t>
            </w:r>
          </w:p>
        </w:tc>
        <w:tc>
          <w:tcPr>
            <w:tcW w:type="dxa" w:w="2492"/>
          </w:tcPr>
          <w:p>
            <w:pPr>
              <w:pStyle w:val="null3"/>
            </w:pPr>
            <w:r>
              <w:rPr>
                <w:rFonts w:ascii="仿宋_GB2312" w:hAnsi="仿宋_GB2312" w:cs="仿宋_GB2312" w:eastAsia="仿宋_GB2312"/>
              </w:rPr>
              <w:t>①. 工期保证体系及保证措施基本满足施工要求， 可行性一般，得1-3 分； ②.工期保证体系及保证措施较合理，可行性较强，得3.1-5分； ③.工期保证体系及保证措施合理、可行性强，得5.1-8 分; 此项未提供不得分。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结合项目区域的特点，评审文明施工方案： ① .措施比较合理，对施工扬尘、噪音控制有基本安排，针对性和实施性一般，得 1-4 分； ② .措施有针对性，作业时间管控等合理且可实施性强，得 4.1-7 分； 此项未提供不得分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施工环保措施及治污减霾保证措施</w:t>
            </w:r>
          </w:p>
        </w:tc>
        <w:tc>
          <w:tcPr>
            <w:tcW w:type="dxa" w:w="2492"/>
          </w:tcPr>
          <w:p>
            <w:pPr>
              <w:pStyle w:val="null3"/>
            </w:pPr>
            <w:r>
              <w:rPr>
                <w:rFonts w:ascii="仿宋_GB2312" w:hAnsi="仿宋_GB2312" w:cs="仿宋_GB2312" w:eastAsia="仿宋_GB2312"/>
              </w:rPr>
              <w:t>①．措施比较合理、针对性和实施性一般得1-3分； ②.措施有针对性、合理、可实施性强得3.1-6分； 此项未提供不得分。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项目的材料及机具配备保证措施</w:t>
            </w:r>
          </w:p>
        </w:tc>
        <w:tc>
          <w:tcPr>
            <w:tcW w:type="dxa" w:w="2492"/>
          </w:tcPr>
          <w:p>
            <w:pPr>
              <w:pStyle w:val="null3"/>
            </w:pPr>
            <w:r>
              <w:rPr>
                <w:rFonts w:ascii="仿宋_GB2312" w:hAnsi="仿宋_GB2312" w:cs="仿宋_GB2312" w:eastAsia="仿宋_GB2312"/>
              </w:rPr>
              <w:t>①.有机具设备投入计划，计划较合理、基本符合本工程特点得1-3分； ②．有机具设备投入计划，且合理可行、有针对性、符合本工程特点得3.1-6分；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项目实施人员配备</w:t>
            </w:r>
          </w:p>
        </w:tc>
        <w:tc>
          <w:tcPr>
            <w:tcW w:type="dxa" w:w="2492"/>
          </w:tcPr>
          <w:p>
            <w:pPr>
              <w:pStyle w:val="null3"/>
            </w:pPr>
            <w:r>
              <w:rPr>
                <w:rFonts w:ascii="仿宋_GB2312" w:hAnsi="仿宋_GB2312" w:cs="仿宋_GB2312" w:eastAsia="仿宋_GB2312"/>
              </w:rPr>
              <w:t>项目部拟派人员组织机构科学合理、人员表配置充足，有详细的人员配置清单，针对性强，能够很好的满足项目需求，得4.1-6分；项目部组成基本合理、人员表配置基本齐全，具有人员配置清单，有一定的针对性，能够满足项目需求，得2.1-4.0分；项目部组成人员缺乏科学合理性，无人员配置清单，无法满足项目需求，得1.0-2.0分；未提供项目部组成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项目组成人员配备表.docx</w:t>
            </w:r>
          </w:p>
        </w:tc>
      </w:tr>
      <w:tr>
        <w:tc>
          <w:tcPr>
            <w:tcW w:type="dxa" w:w="831"/>
            <w:vMerge/>
          </w:tcPr>
          <w:p/>
        </w:tc>
        <w:tc>
          <w:tcPr>
            <w:tcW w:type="dxa" w:w="1661"/>
          </w:tcPr>
          <w:p>
            <w:pPr>
              <w:pStyle w:val="null3"/>
            </w:pPr>
            <w:r>
              <w:rPr>
                <w:rFonts w:ascii="仿宋_GB2312" w:hAnsi="仿宋_GB2312" w:cs="仿宋_GB2312" w:eastAsia="仿宋_GB2312"/>
              </w:rPr>
              <w:t>保修服务承诺</w:t>
            </w:r>
          </w:p>
        </w:tc>
        <w:tc>
          <w:tcPr>
            <w:tcW w:type="dxa" w:w="2492"/>
          </w:tcPr>
          <w:p>
            <w:pPr>
              <w:pStyle w:val="null3"/>
            </w:pPr>
            <w:r>
              <w:rPr>
                <w:rFonts w:ascii="仿宋_GB2312" w:hAnsi="仿宋_GB2312" w:cs="仿宋_GB2312" w:eastAsia="仿宋_GB2312"/>
              </w:rPr>
              <w:t>①．根据项目情况提供质量保修承诺，质量保修承诺一般得0-3分； ②．质量保修承诺合理、有针对性得3.1-6分； 此项未提供不得分。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投标人提供自2022年1月至今完成过类似项目业绩，提供一个得2.5分，最高可得5分； 评审依据：提供加盖公章的中标通知书、合同协议书，时间以签订的合同协议书时间为准。 此项未提供不得分。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满足磋商文件要求且磋商报价最低的投标报价为磋商基准价，其价格分为满分。其他投标供应商的价格分统一按照下列公式计算：磋商报价得分=（磋商基准价/磋商报价）×30%×100。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详见附件：技术响应方案.docx</w:t>
      </w:r>
    </w:p>
    <w:p>
      <w:pPr>
        <w:pStyle w:val="null3"/>
        <w:ind w:firstLine="960"/>
      </w:pPr>
      <w:r>
        <w:rPr>
          <w:rFonts w:ascii="仿宋_GB2312" w:hAnsi="仿宋_GB2312" w:cs="仿宋_GB2312" w:eastAsia="仿宋_GB2312"/>
        </w:rPr>
        <w:t>详见附件：项目组成人员配备表.docx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详见附件：供应商认为需要提供的其他内容.docx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