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04851">
      <w:pPr>
        <w:spacing w:line="480" w:lineRule="exact"/>
        <w:ind w:firstLine="643" w:firstLineChars="200"/>
        <w:jc w:val="center"/>
        <w:outlineLvl w:val="0"/>
        <w:rPr>
          <w:rFonts w:hint="eastAsia" w:ascii="宋体" w:hAnsi="宋体" w:eastAsia="宋体" w:cs="宋体"/>
          <w:b/>
          <w:color w:val="0D0D0D" w:themeColor="text1" w:themeTint="F2"/>
          <w:sz w:val="32"/>
          <w:szCs w:val="32"/>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32"/>
          <w:szCs w:val="32"/>
          <w14:textFill>
            <w14:solidFill>
              <w14:schemeClr w14:val="tx1">
                <w14:lumMod w14:val="95000"/>
                <w14:lumOff w14:val="5000"/>
              </w14:schemeClr>
            </w14:solidFill>
          </w14:textFill>
        </w:rPr>
        <w:t>合同条款及格式</w:t>
      </w:r>
    </w:p>
    <w:p w14:paraId="69F02C9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01C99E2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3D5A9A3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306FB81C">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ascii="宋体" w:hAnsi="宋体" w:eastAsia="宋体" w:cs="宋体"/>
        </w:rPr>
      </w:pPr>
    </w:p>
    <w:p w14:paraId="7A11F9F4">
      <w:pPr>
        <w:pStyle w:val="10"/>
        <w:numPr>
          <w:ilvl w:val="0"/>
          <w:numId w:val="1"/>
        </w:numPr>
        <w:spacing w:line="600" w:lineRule="exact"/>
        <w:jc w:val="center"/>
        <w:rPr>
          <w:rFonts w:hint="eastAsia" w:ascii="宋体" w:hAnsi="宋体" w:eastAsia="宋体" w:cs="宋体"/>
          <w:b/>
          <w:color w:val="0D0D0D" w:themeColor="text1" w:themeTint="F2"/>
          <w:sz w:val="24"/>
          <w:szCs w:val="52"/>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4"/>
          <w:szCs w:val="52"/>
          <w14:textFill>
            <w14:solidFill>
              <w14:schemeClr w14:val="tx1">
                <w14:lumMod w14:val="95000"/>
                <w14:lumOff w14:val="5000"/>
              </w14:schemeClr>
            </w14:solidFill>
          </w14:textFill>
        </w:rPr>
        <w:t>通用合同条款</w:t>
      </w:r>
    </w:p>
    <w:p w14:paraId="2523EC38">
      <w:pPr>
        <w:pStyle w:val="11"/>
        <w:tabs>
          <w:tab w:val="left" w:pos="1307"/>
        </w:tabs>
        <w:spacing w:line="360" w:lineRule="auto"/>
        <w:ind w:left="0" w:right="384" w:firstLine="436" w:firstLineChars="200"/>
        <w:rPr>
          <w:rFonts w:hint="eastAsia" w:ascii="宋体" w:hAnsi="宋体" w:eastAsia="宋体" w:cs="宋体"/>
          <w:color w:val="0D0D0D" w:themeColor="text1" w:themeTint="F2"/>
          <w:spacing w:val="-1"/>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pacing w:val="-1"/>
          <w:szCs w:val="24"/>
          <w14:textFill>
            <w14:solidFill>
              <w14:schemeClr w14:val="tx1">
                <w14:lumMod w14:val="95000"/>
                <w14:lumOff w14:val="5000"/>
              </w14:schemeClr>
            </w14:solidFill>
          </w14:textFill>
        </w:rPr>
        <w:t xml:space="preserve"> </w:t>
      </w:r>
    </w:p>
    <w:p w14:paraId="5DB2E036">
      <w:pPr>
        <w:pStyle w:val="11"/>
        <w:tabs>
          <w:tab w:val="left" w:pos="1307"/>
        </w:tabs>
        <w:spacing w:line="360" w:lineRule="auto"/>
        <w:ind w:left="0" w:right="384" w:firstLine="438" w:firstLineChars="200"/>
        <w:rPr>
          <w:rFonts w:hint="eastAsia" w:ascii="宋体" w:hAnsi="宋体" w:eastAsia="宋体" w:cs="宋体"/>
          <w:b/>
          <w:color w:val="0D0D0D" w:themeColor="text1" w:themeTint="F2"/>
          <w:spacing w:val="-1"/>
          <w:szCs w:val="24"/>
          <w14:textFill>
            <w14:solidFill>
              <w14:schemeClr w14:val="tx1">
                <w14:lumMod w14:val="95000"/>
                <w14:lumOff w14:val="5000"/>
              </w14:schemeClr>
            </w14:solidFill>
          </w14:textFill>
        </w:rPr>
      </w:pPr>
      <w:r>
        <w:rPr>
          <w:rFonts w:hint="eastAsia" w:ascii="宋体" w:hAnsi="宋体" w:eastAsia="宋体" w:cs="宋体"/>
          <w:b/>
          <w:color w:val="0D0D0D" w:themeColor="text1" w:themeTint="F2"/>
          <w:spacing w:val="-1"/>
          <w:szCs w:val="24"/>
          <w14:textFill>
            <w14:solidFill>
              <w14:schemeClr w14:val="tx1">
                <w14:lumMod w14:val="95000"/>
                <w14:lumOff w14:val="5000"/>
              </w14:schemeClr>
            </w14:solidFill>
          </w14:textFill>
        </w:rPr>
        <w:t>“通用合同条款”采用《公路工程标准施工招标文件》（2018年版·第一册）的“通用合同条款”</w:t>
      </w:r>
    </w:p>
    <w:p w14:paraId="700A94E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971EF23">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CDDD46E">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4CF54911">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E7C3275">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429E653">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4964D9A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9B6761A">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F499CB0">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11A07DE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A3BAE0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03530B04">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ECEEB0D">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736FCE56">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696BFBA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56D235F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112DCA41">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5206DF22">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20271009">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CD0446B">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0DA7803E">
      <w:pPr>
        <w:pStyle w:val="11"/>
        <w:tabs>
          <w:tab w:val="left" w:pos="1307"/>
        </w:tabs>
        <w:spacing w:line="360" w:lineRule="auto"/>
        <w:ind w:left="0" w:right="384" w:firstLine="476" w:firstLineChars="200"/>
        <w:rPr>
          <w:rFonts w:hint="eastAsia" w:ascii="宋体" w:hAnsi="宋体" w:eastAsia="宋体" w:cs="宋体"/>
          <w:color w:val="0D0D0D" w:themeColor="text1" w:themeTint="F2"/>
          <w:spacing w:val="-1"/>
          <w:sz w:val="24"/>
          <w:szCs w:val="24"/>
          <w14:textFill>
            <w14:solidFill>
              <w14:schemeClr w14:val="tx1">
                <w14:lumMod w14:val="95000"/>
                <w14:lumOff w14:val="5000"/>
              </w14:schemeClr>
            </w14:solidFill>
          </w14:textFill>
        </w:rPr>
      </w:pPr>
    </w:p>
    <w:p w14:paraId="3B475F19">
      <w:pPr>
        <w:pStyle w:val="10"/>
        <w:numPr>
          <w:ilvl w:val="0"/>
          <w:numId w:val="1"/>
        </w:numPr>
        <w:spacing w:line="600" w:lineRule="exact"/>
        <w:jc w:val="center"/>
        <w:rPr>
          <w:rFonts w:hint="eastAsia" w:ascii="宋体" w:hAnsi="宋体" w:eastAsia="宋体" w:cs="宋体"/>
          <w:b/>
          <w:color w:val="0D0D0D" w:themeColor="text1" w:themeTint="F2"/>
          <w:sz w:val="24"/>
          <w:szCs w:val="52"/>
          <w:lang w:val="en-US" w:eastAsia="zh-CN"/>
          <w14:textFill>
            <w14:solidFill>
              <w14:schemeClr w14:val="tx1">
                <w14:lumMod w14:val="95000"/>
                <w14:lumOff w14:val="5000"/>
              </w14:schemeClr>
            </w14:solidFill>
          </w14:textFill>
        </w:rPr>
      </w:pPr>
      <w:r>
        <w:rPr>
          <w:rFonts w:hint="eastAsia" w:ascii="宋体" w:hAnsi="宋体" w:eastAsia="宋体" w:cs="宋体"/>
          <w:b/>
          <w:color w:val="0D0D0D" w:themeColor="text1" w:themeTint="F2"/>
          <w:sz w:val="24"/>
          <w:szCs w:val="52"/>
          <w:lang w:val="en-US" w:eastAsia="zh-CN"/>
          <w14:textFill>
            <w14:solidFill>
              <w14:schemeClr w14:val="tx1">
                <w14:lumMod w14:val="95000"/>
                <w14:lumOff w14:val="5000"/>
              </w14:schemeClr>
            </w14:solidFill>
          </w14:textFill>
        </w:rPr>
        <w:t>专用合同条款</w:t>
      </w:r>
    </w:p>
    <w:p w14:paraId="410E33F8">
      <w:pPr>
        <w:pStyle w:val="3"/>
        <w:snapToGrid w:val="0"/>
        <w:ind w:firstLine="440"/>
        <w:contextualSpacing/>
        <w:jc w:val="cente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szCs w:val="24"/>
          <w:lang w:val="en-US" w:eastAsia="zh-CN"/>
          <w14:textFill>
            <w14:solidFill>
              <w14:schemeClr w14:val="tx1">
                <w14:lumMod w14:val="95000"/>
                <w14:lumOff w14:val="5000"/>
              </w14:schemeClr>
            </w14:solidFill>
          </w14:textFill>
        </w:rPr>
        <w:t>A.</w:t>
      </w:r>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公路工程专用合同条款</w:t>
      </w:r>
    </w:p>
    <w:p w14:paraId="3CB4503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0" w:name="_Toc139464290"/>
      <w:bookmarkStart w:id="1" w:name="_Toc139463525"/>
      <w:bookmarkStart w:id="2" w:name="_Toc139462726"/>
      <w:bookmarkStart w:id="3" w:name="_Toc12044298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 一般约定</w:t>
      </w:r>
      <w:bookmarkEnd w:id="0"/>
      <w:bookmarkEnd w:id="1"/>
      <w:bookmarkEnd w:id="2"/>
      <w:bookmarkEnd w:id="3"/>
    </w:p>
    <w:p w14:paraId="1FB3F02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 w:name="_bookmark160"/>
      <w:bookmarkEnd w:id="4"/>
      <w:bookmarkStart w:id="5" w:name="_Toc139462727"/>
      <w:bookmarkStart w:id="6" w:name="_Toc120442982"/>
      <w:bookmarkStart w:id="7" w:name="_Toc139464291"/>
      <w:bookmarkStart w:id="8" w:name="_Toc13946352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 词语定义</w:t>
      </w:r>
      <w:bookmarkEnd w:id="5"/>
      <w:bookmarkEnd w:id="6"/>
      <w:bookmarkEnd w:id="7"/>
      <w:bookmarkEnd w:id="8"/>
    </w:p>
    <w:p w14:paraId="76698C0D">
      <w:pPr>
        <w:pStyle w:val="7"/>
        <w:autoSpaceDE w:val="0"/>
        <w:autoSpaceDN w:val="0"/>
        <w:ind w:firstLine="442" w:firstLineChars="200"/>
        <w:jc w:val="left"/>
        <w:rPr>
          <w:rFonts w:hint="eastAsia" w:ascii="宋体" w:hAnsi="宋体" w:eastAsia="宋体" w:cs="宋体"/>
          <w:b/>
          <w:bCs/>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 w:val="22"/>
          <w14:textFill>
            <w14:solidFill>
              <w14:schemeClr w14:val="tx1">
                <w14:lumMod w14:val="95000"/>
                <w14:lumOff w14:val="5000"/>
              </w14:schemeClr>
            </w14:solidFill>
          </w14:textFill>
        </w:rPr>
        <w:t>1.1.1 合同</w:t>
      </w:r>
    </w:p>
    <w:p w14:paraId="250D9FD7">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9" w:name="_Toc6207"/>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第1.1.1.6目细化为：</w:t>
      </w:r>
      <w:bookmarkEnd w:id="9"/>
    </w:p>
    <w:p w14:paraId="4BE5A2E3">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技术规范：指本合同所约定的技术标准和要求，是合同文件的组成部分。通用合同条款中“技术标准和要求”一词具有相同含义。</w:t>
      </w:r>
    </w:p>
    <w:p w14:paraId="1F2160C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0" w:name="_Toc1129"/>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第1.1.1.8目细化为：</w:t>
      </w:r>
      <w:bookmarkEnd w:id="10"/>
    </w:p>
    <w:p w14:paraId="01658824">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5.1～表5.5）。</w:t>
      </w:r>
    </w:p>
    <w:p w14:paraId="0501D54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1.1.1.10 目：</w:t>
      </w:r>
    </w:p>
    <w:p w14:paraId="301F53F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1.1.1.10 补遗书：指发出招标文件之后由招标人向已取得招标文件的投标人发出的、编号的对招标文件所作的澄清、修改书。</w:t>
      </w:r>
    </w:p>
    <w:p w14:paraId="41A6B279">
      <w:pPr>
        <w:pStyle w:val="11"/>
        <w:widowControl w:val="0"/>
        <w:tabs>
          <w:tab w:val="left" w:pos="1505"/>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11" w:name="_Toc22221"/>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1.1.2 合同当事人和人员</w:t>
      </w:r>
      <w:bookmarkEnd w:id="11"/>
    </w:p>
    <w:p w14:paraId="0F5B5182">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1.1.2.8 目：</w:t>
      </w:r>
    </w:p>
    <w:p w14:paraId="279F20BF">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1.1.2.8 承包人项目总工：指由承包人书面委派常驻现场负责管理本合同工程的总工程师或技术总负责人。</w:t>
      </w:r>
    </w:p>
    <w:p w14:paraId="6ADF74FB">
      <w:pPr>
        <w:pStyle w:val="11"/>
        <w:widowControl w:val="0"/>
        <w:tabs>
          <w:tab w:val="left" w:pos="1505"/>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12" w:name="_Toc4966"/>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1.1.3 工程和设备</w:t>
      </w:r>
      <w:bookmarkEnd w:id="12"/>
    </w:p>
    <w:p w14:paraId="3CB709D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3" w:name="_Toc6395"/>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第1.1.3.4目细化为：</w:t>
      </w:r>
      <w:bookmarkEnd w:id="13"/>
    </w:p>
    <w:p w14:paraId="52A127AC">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单位工程：指在建设项目中，根据签订的合同，具有独立施工条件的工程。</w:t>
      </w:r>
    </w:p>
    <w:p w14:paraId="457C065B">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第1.1.3.10目细化为：</w:t>
      </w:r>
    </w:p>
    <w:p w14:paraId="3DA02C5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永久占地：指为实施本合同工程而需要的一切永久占用的土地，包括公路两侧路权范围内的用地。</w:t>
      </w:r>
    </w:p>
    <w:p w14:paraId="2A780C18">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bookmarkStart w:id="14" w:name="_Toc4625"/>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第1.1.3.11目细化为：</w:t>
      </w:r>
      <w:bookmarkEnd w:id="14"/>
    </w:p>
    <w:p w14:paraId="2E667F85">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临时占地：指为实施本合同工程而需要的一切临时占用的土地，包括施工所用的临时支线、便道、便桥和现场的临时出入通道，以及生产（办公）、生活等临时设施用地等。</w:t>
      </w:r>
    </w:p>
    <w:p w14:paraId="1FE9C05E">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1.1.3.12 目、第 1.1.3.13 目：</w:t>
      </w:r>
    </w:p>
    <w:p w14:paraId="4ADBB183">
      <w:pPr>
        <w:pStyle w:val="11"/>
        <w:widowControl w:val="0"/>
        <w:tabs>
          <w:tab w:val="left" w:pos="2047"/>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1.1.3.12 分部工程：指在单位工程中，按结构部位、路段长度及施工特点或施工任务划分的若干个工程。</w:t>
      </w:r>
    </w:p>
    <w:p w14:paraId="72A5E3AF">
      <w:pPr>
        <w:pStyle w:val="11"/>
        <w:widowControl w:val="0"/>
        <w:tabs>
          <w:tab w:val="left" w:pos="2047"/>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1.1.3.13 分项工程：指在分部工程中，按不同的施工方法、材料、工序及路段长度等划分的若干个工程。</w:t>
      </w:r>
    </w:p>
    <w:p w14:paraId="3B07C039">
      <w:pPr>
        <w:pStyle w:val="11"/>
        <w:widowControl w:val="0"/>
        <w:tabs>
          <w:tab w:val="left" w:pos="1495"/>
        </w:tabs>
        <w:autoSpaceDE w:val="0"/>
        <w:autoSpaceDN w:val="0"/>
        <w:spacing w:after="0"/>
        <w:ind w:left="0" w:leftChars="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1.1.6 其他</w:t>
      </w:r>
    </w:p>
    <w:p w14:paraId="44B40B11">
      <w:pPr>
        <w:pStyle w:val="7"/>
        <w:autoSpaceDE w:val="0"/>
        <w:autoSpaceDN w:val="0"/>
        <w:ind w:firstLine="440" w:firstLineChars="200"/>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本项补充第 1.1.6.2 目～第 1.1.6.9 目：</w:t>
      </w:r>
    </w:p>
    <w:p w14:paraId="6BD8010E">
      <w:pPr>
        <w:pStyle w:val="11"/>
        <w:widowControl w:val="0"/>
        <w:tabs>
          <w:tab w:val="left" w:pos="1925"/>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1.1.6.2 竣工验收：指《公路工程竣（交）工验收办法》中的竣工验收。通用合同条款中“国家验收”一词具有相同含义。</w:t>
      </w:r>
    </w:p>
    <w:p w14:paraId="6991DE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1.1.6.3 交工：指《公路工程竣（交）工验收办法》中的交工。通用合同条款中“竣工”一词具有相同含义。</w:t>
      </w:r>
    </w:p>
    <w:p w14:paraId="4E7652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1.1.6.4 交工验收：指《公路工程竣（交）工验收办法》中的交工验收。通用合同条款中“竣工验收”一词具有相同含义。</w:t>
      </w:r>
    </w:p>
    <w:p w14:paraId="3F3A670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1.1.6.5 交工验收证书：指《公路工程竣（交）工验收办法》中的交工验收证书。通用合同条款中“工程接收证书”一词具有相同含义。</w:t>
      </w:r>
    </w:p>
    <w:p w14:paraId="1D8E0A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1.1.6.6 转包：指承包人违反法律和不履行合同规定的责任和义务，将中标工程全部委托或以专业分包的名义将中标工程肢解后全部委托给其他施工企业施工的行为。</w:t>
      </w:r>
    </w:p>
    <w:p w14:paraId="300645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1.1.6.7 专业分包：指承包人与具有相应资格的施工企业签订专业分包合同， 由分包人承担承包人委托的分部工程、分项工程或适合专业化队伍施工的其他工程，整体结算，并能独立控制工程质量、施工进度、材料采购、生产安全的施工行为。</w:t>
      </w:r>
    </w:p>
    <w:p w14:paraId="6D0F24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1.1.6.8 劳务分包：指承包人与具有施工劳务资质的劳务企业签订劳务分包合同，由劳务企业提供劳务人员及机具，由承包人统一组织施工、统一控制工程质量、施工进度、材料采购、生产安全的施工行为。</w:t>
      </w:r>
    </w:p>
    <w:p w14:paraId="556D742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1.1.6.9 雇用民工：指承包人与具有相应劳动能力的自然人签订劳动合同，由承包人统一组织管理，从事分项工程施工或配套工程施工的行为。</w:t>
      </w:r>
    </w:p>
    <w:p w14:paraId="24DA4EE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 w:name="_bookmark161"/>
      <w:bookmarkEnd w:id="15"/>
      <w:bookmarkStart w:id="16" w:name="_Toc120442983"/>
      <w:bookmarkStart w:id="17" w:name="_Toc139463527"/>
      <w:bookmarkStart w:id="18" w:name="_Toc139462728"/>
      <w:bookmarkStart w:id="19" w:name="_Toc13946429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1.4合同文件的优先顺序</w:t>
      </w:r>
      <w:bookmarkEnd w:id="16"/>
      <w:bookmarkEnd w:id="17"/>
      <w:bookmarkEnd w:id="18"/>
      <w:bookmarkEnd w:id="19"/>
    </w:p>
    <w:p w14:paraId="5406DFF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7D9548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组成合同的各项文件应互相解释，互为说明。除项目专用合同条款另有约定外， 解释合同文件的优先顺序如下：</w:t>
      </w:r>
    </w:p>
    <w:p w14:paraId="4494A8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（1）合同协议书及各种合同附件（含评标期间和合同谈判过程中的澄清文件和补充资料）；</w:t>
      </w:r>
    </w:p>
    <w:p w14:paraId="079496E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（2）中标通知书；</w:t>
      </w:r>
    </w:p>
    <w:p w14:paraId="18541E6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（3）投标函；</w:t>
      </w:r>
    </w:p>
    <w:p w14:paraId="262900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（4）项目专用合同条款；</w:t>
      </w:r>
    </w:p>
    <w:p w14:paraId="3E4DA20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（5）公路工程专用合同条款；</w:t>
      </w:r>
    </w:p>
    <w:p w14:paraId="3D550A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（6）通用合同条款；</w:t>
      </w:r>
    </w:p>
    <w:p w14:paraId="76EB4C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（7）工程量清单计量规则；</w:t>
      </w:r>
    </w:p>
    <w:p w14:paraId="6EF956D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（8）技术规范；</w:t>
      </w:r>
    </w:p>
    <w:p w14:paraId="32F9B1B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（9）图纸；</w:t>
      </w:r>
    </w:p>
    <w:p w14:paraId="339ACB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（10）已标价工程量清单；</w:t>
      </w:r>
    </w:p>
    <w:p w14:paraId="51E8FE6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（11）承包人有关人员、设备投入的承诺及投标文件中的施工组织设计；</w:t>
      </w:r>
    </w:p>
    <w:p w14:paraId="75C918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（12）其他合同文件。</w:t>
      </w:r>
    </w:p>
    <w:p w14:paraId="2D848DF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 w:name="_bookmark162"/>
      <w:bookmarkEnd w:id="20"/>
      <w:bookmarkStart w:id="21" w:name="_Toc120442984"/>
      <w:bookmarkStart w:id="22" w:name="_Toc139462729"/>
      <w:bookmarkStart w:id="23" w:name="_Toc139464293"/>
      <w:bookmarkStart w:id="24" w:name="_Toc13946352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1.5合同协议书</w:t>
      </w:r>
      <w:bookmarkEnd w:id="21"/>
      <w:bookmarkEnd w:id="22"/>
      <w:bookmarkEnd w:id="23"/>
      <w:bookmarkEnd w:id="24"/>
    </w:p>
    <w:p w14:paraId="1E6D1CA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BB41AC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制备本合同文件的费用由发包人承担。在合同协议书签订并生效之前，投标函和中标通知书将对双方具有约束力。</w:t>
      </w:r>
    </w:p>
    <w:p w14:paraId="6402740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 w:name="_bookmark163"/>
      <w:bookmarkEnd w:id="25"/>
      <w:bookmarkStart w:id="26" w:name="_Toc139462730"/>
      <w:bookmarkStart w:id="27" w:name="_Toc139463529"/>
      <w:bookmarkStart w:id="28" w:name="_Toc139464294"/>
      <w:bookmarkStart w:id="29" w:name="_Toc12044298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1.6图纸和承包人文件</w:t>
      </w:r>
      <w:bookmarkEnd w:id="26"/>
      <w:bookmarkEnd w:id="27"/>
      <w:bookmarkEnd w:id="28"/>
      <w:bookmarkEnd w:id="29"/>
    </w:p>
    <w:p w14:paraId="78FB0A3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1.6.1 图纸的提供</w:t>
      </w:r>
    </w:p>
    <w:p w14:paraId="5BAF19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6586681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14:paraId="550755A9">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1.6.2 承包人提供的文件</w:t>
      </w:r>
    </w:p>
    <w:p w14:paraId="457148F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4C087B8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有下列情形之一的，承包人应免费向监理人提交相关部分工程的施工图纸 3 份， 并附必要的计算书、技术资料，或施工工艺图、设备安装图及安装设备的使用和维护手册各 2 份供监理人批准。</w:t>
      </w:r>
    </w:p>
    <w:p w14:paraId="20623C2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（1）为使第 1.6.1 项所述的施工图纸适合于经施工测量后的纵、横断面；</w:t>
      </w:r>
    </w:p>
    <w:p w14:paraId="6172762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（2）为使第 1.6.1 项所述的施工图纸适合于现场具体地形；</w:t>
      </w:r>
    </w:p>
    <w:p w14:paraId="43FF603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（3）为使第 1.6.1 项所述的施工图纸适合于因尺寸与位置变化而引起局部变更；</w:t>
      </w:r>
    </w:p>
    <w:p w14:paraId="62A0A1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（4）由于合同要求与施工需要。</w:t>
      </w:r>
    </w:p>
    <w:p w14:paraId="55AF1D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此类图纸应按监理人规定的格式和图幅绘制。监理人在收到由承包人绘制的上述工程、工艺图纸、计算书和有关技术资料后 14 天内应予批准或提出修改要求，承包人应按监理人提出的要求作出修改，重新向监理人提交，监理人应在 7 天内批准或提出进一步的修改意见。</w:t>
      </w:r>
    </w:p>
    <w:p w14:paraId="6AF35AE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1.6.4 图纸的错误</w:t>
      </w:r>
    </w:p>
    <w:p w14:paraId="7AE083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0C0A2E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14:paraId="57B42FD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 w:name="_bookmark164"/>
      <w:bookmarkEnd w:id="30"/>
      <w:bookmarkStart w:id="31" w:name="_Toc139463530"/>
      <w:bookmarkStart w:id="32" w:name="_Toc139464295"/>
      <w:bookmarkStart w:id="33" w:name="_Toc139462731"/>
      <w:bookmarkStart w:id="34" w:name="_Toc12044298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 严禁贿赂</w:t>
      </w:r>
      <w:bookmarkEnd w:id="31"/>
      <w:bookmarkEnd w:id="32"/>
      <w:bookmarkEnd w:id="33"/>
      <w:bookmarkEnd w:id="34"/>
    </w:p>
    <w:p w14:paraId="06D3B41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6B9E88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14:paraId="35655E9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 w:name="_bookmark165"/>
      <w:bookmarkEnd w:id="35"/>
      <w:bookmarkStart w:id="36" w:name="_Toc139462732"/>
      <w:bookmarkStart w:id="37" w:name="_Toc120442987"/>
      <w:bookmarkStart w:id="38" w:name="_Toc139463531"/>
      <w:bookmarkStart w:id="39" w:name="_Toc13946429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2.发包人义务</w:t>
      </w:r>
      <w:bookmarkEnd w:id="36"/>
      <w:bookmarkEnd w:id="37"/>
      <w:bookmarkEnd w:id="38"/>
      <w:bookmarkEnd w:id="39"/>
    </w:p>
    <w:p w14:paraId="3DE7AC71">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0" w:name="_bookmark166"/>
      <w:bookmarkEnd w:id="40"/>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2.3 提供施工场地</w:t>
      </w:r>
    </w:p>
    <w:p w14:paraId="56C2E8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422BB0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14:paraId="17A8828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bookmarkStart w:id="41" w:name="_bookmark167"/>
      <w:bookmarkEnd w:id="41"/>
    </w:p>
    <w:p w14:paraId="1411B47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 w:name="_Toc120442988"/>
      <w:bookmarkStart w:id="43" w:name="_Toc139462733"/>
      <w:bookmarkStart w:id="44" w:name="_Toc139463532"/>
      <w:bookmarkStart w:id="45" w:name="_Toc13946429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3.监理人</w:t>
      </w:r>
      <w:bookmarkEnd w:id="42"/>
      <w:bookmarkEnd w:id="43"/>
      <w:bookmarkEnd w:id="44"/>
      <w:bookmarkEnd w:id="45"/>
    </w:p>
    <w:p w14:paraId="05839B0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 w:name="_bookmark168"/>
      <w:bookmarkEnd w:id="46"/>
      <w:bookmarkStart w:id="47" w:name="_Toc120442989"/>
      <w:bookmarkStart w:id="48" w:name="_Toc139462734"/>
      <w:bookmarkStart w:id="49" w:name="_Toc139464298"/>
      <w:bookmarkStart w:id="50" w:name="_Toc13946353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3.1 监理人的职责和权力</w:t>
      </w:r>
      <w:bookmarkEnd w:id="47"/>
      <w:bookmarkEnd w:id="48"/>
      <w:bookmarkEnd w:id="49"/>
      <w:bookmarkEnd w:id="50"/>
    </w:p>
    <w:p w14:paraId="43C42AD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51" w:name="_Toc550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第3.1.1项补充：</w:t>
      </w:r>
      <w:bookmarkEnd w:id="51"/>
    </w:p>
    <w:p w14:paraId="2051F8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监理人在行使下列权力前需要经发包人事先批准：</w:t>
      </w:r>
    </w:p>
    <w:p w14:paraId="687952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（1）根据第 4.3 款，同意分包本工程的某些非关键性工作或者适合专业化队伍施工的专项工程；</w:t>
      </w:r>
    </w:p>
    <w:p w14:paraId="27729A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（2）确定第 4.11 款下产生的费用增加额；</w:t>
      </w:r>
    </w:p>
    <w:p w14:paraId="5F7248E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（3）根据第 11.1 款、第 12.3 款、第 12.4 款发布开工通知、暂停施工指示或复工通知；</w:t>
      </w:r>
    </w:p>
    <w:p w14:paraId="6D635AE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（4）决定第 11.3 款、第 11.4 款下的工期延长；</w:t>
      </w:r>
    </w:p>
    <w:p w14:paraId="3BDEA6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（5）审查批准技术方案或设计的变更；</w:t>
      </w:r>
    </w:p>
    <w:p w14:paraId="1B4137E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（6）根据第 15.3 款发出的变更指示，其单项工程变更或累计变更涉及的金额超过了项目专用合同条款数据表中规定的金额；</w:t>
      </w:r>
    </w:p>
    <w:p w14:paraId="1DDAB79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（7）确定第 15.4 款下变更工作的单价；</w:t>
      </w:r>
    </w:p>
    <w:p w14:paraId="2B3F1C9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（8）按照第 15.6 款决定有关暂列金额的使用；</w:t>
      </w:r>
    </w:p>
    <w:p w14:paraId="240B8AA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（9）确定第 15.8 款下的暂估价金额；</w:t>
      </w:r>
    </w:p>
    <w:p w14:paraId="6F4448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（10）确定第 23.1 款下的索赔额。</w:t>
      </w:r>
    </w:p>
    <w:p w14:paraId="1FE81DF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14:paraId="4258536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2" w:name="_bookmark169"/>
      <w:bookmarkEnd w:id="52"/>
      <w:bookmarkStart w:id="53" w:name="_Toc139462735"/>
      <w:bookmarkStart w:id="54" w:name="_Toc120442990"/>
      <w:bookmarkStart w:id="55" w:name="_Toc139464299"/>
      <w:bookmarkStart w:id="56" w:name="_Toc13946353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3.5 商定或确定</w:t>
      </w:r>
      <w:bookmarkEnd w:id="53"/>
      <w:bookmarkEnd w:id="54"/>
      <w:bookmarkEnd w:id="55"/>
      <w:bookmarkEnd w:id="56"/>
    </w:p>
    <w:p w14:paraId="069EF2E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57" w:name="_Toc23191"/>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3.5.1 项补充：</w:t>
      </w:r>
      <w:bookmarkEnd w:id="57"/>
    </w:p>
    <w:p w14:paraId="6509CC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如果这项商定或确定导致费用增加和（或）工期延长，或者涉及确定变更工程的价格，则总监理工程师在发出通知前，应征得发包人的同意。</w:t>
      </w:r>
    </w:p>
    <w:p w14:paraId="22109851">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8" w:name="_bookmark170"/>
      <w:bookmarkEnd w:id="58"/>
      <w:bookmarkStart w:id="59" w:name="_Toc139462736"/>
      <w:bookmarkStart w:id="60" w:name="_Toc139463535"/>
      <w:bookmarkStart w:id="61" w:name="_Toc139464300"/>
      <w:bookmarkStart w:id="62" w:name="_Toc12044299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4.承包人</w:t>
      </w:r>
      <w:bookmarkEnd w:id="59"/>
      <w:bookmarkEnd w:id="60"/>
      <w:bookmarkEnd w:id="61"/>
      <w:bookmarkEnd w:id="62"/>
    </w:p>
    <w:p w14:paraId="64108EA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63" w:name="_bookmark171"/>
      <w:bookmarkEnd w:id="63"/>
      <w:bookmarkStart w:id="64" w:name="_Toc139462737"/>
      <w:bookmarkStart w:id="65" w:name="_Toc139464301"/>
      <w:bookmarkStart w:id="66" w:name="_Toc139463536"/>
      <w:bookmarkStart w:id="67" w:name="_Toc12044299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 承包人的一般义务</w:t>
      </w:r>
      <w:bookmarkEnd w:id="64"/>
      <w:bookmarkEnd w:id="65"/>
      <w:bookmarkEnd w:id="66"/>
      <w:bookmarkEnd w:id="67"/>
    </w:p>
    <w:p w14:paraId="5007B0FD">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4.1.9 工程的维护和照管</w:t>
      </w:r>
    </w:p>
    <w:p w14:paraId="358A1F5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0B04084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14:paraId="3BC499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14:paraId="2972598C">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4.1.10 其他义务</w:t>
      </w:r>
    </w:p>
    <w:p w14:paraId="062351D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35E733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（1）临时占地由承包人向当地政府土地管理部门申请，并办理租用手续，承包人按有关规定直接支付其费用，发包人对此将予以协调。</w:t>
      </w:r>
    </w:p>
    <w:p w14:paraId="44DDF66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 100 章中由承包人按总额报价。</w:t>
      </w:r>
    </w:p>
    <w:p w14:paraId="50C2253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14:paraId="35FBEA4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33B411A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14:paraId="397D8DC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1E92B7E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工资支付表应如实记录支付单位、支付时间、支付对象、支付数额、支付对象的身份证号和签字等信息。民工花名册和工资支付表应报监理人备查。</w:t>
      </w:r>
    </w:p>
    <w:p w14:paraId="7F4BBA5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通运输主管部门报告。</w:t>
      </w:r>
    </w:p>
    <w:p w14:paraId="5E7FFE0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承包人应严格执行招标文件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14:paraId="1C5CD7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（6）承包人应履行项目专用合同条款约定的其他义务。</w:t>
      </w:r>
    </w:p>
    <w:p w14:paraId="7369AB2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68" w:name="_bookmark172"/>
      <w:bookmarkEnd w:id="68"/>
      <w:bookmarkStart w:id="69" w:name="_Toc120442993"/>
      <w:bookmarkStart w:id="70" w:name="_Toc139464302"/>
      <w:bookmarkStart w:id="71" w:name="_Toc139463537"/>
      <w:bookmarkStart w:id="72" w:name="_Toc13946273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4.2 履约保证金</w:t>
      </w:r>
      <w:bookmarkEnd w:id="69"/>
      <w:bookmarkEnd w:id="70"/>
      <w:bookmarkEnd w:id="71"/>
      <w:bookmarkEnd w:id="72"/>
    </w:p>
    <w:p w14:paraId="4F6C94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74B57D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承包人应保证其履约保证金在发包人签发交工验收证书且承包人按照合同约定缴纳质量保证金前一直有效。发包人应在收到承包人缴纳的质量保证金后 28 天内将履约保证金退还给承包人。</w:t>
      </w:r>
    </w:p>
    <w:p w14:paraId="422D21C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承包人拒绝按照本合同约定缴纳质量保证金的，发包人有权从交工付款证书中扣留相应金额作为质量保证金，或者直接将履约保证金金额用于保证承包人在缺陷责任期内履行缺陷修复义务。</w:t>
      </w:r>
    </w:p>
    <w:p w14:paraId="7ACF617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73" w:name="_bookmark173"/>
      <w:bookmarkEnd w:id="73"/>
      <w:bookmarkStart w:id="74" w:name="_Toc120442994"/>
      <w:bookmarkStart w:id="75" w:name="_Toc139464303"/>
      <w:bookmarkStart w:id="76" w:name="_Toc139463538"/>
      <w:bookmarkStart w:id="77" w:name="_Toc13946273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4.3 分包</w:t>
      </w:r>
      <w:bookmarkEnd w:id="74"/>
      <w:bookmarkEnd w:id="75"/>
      <w:bookmarkEnd w:id="76"/>
      <w:bookmarkEnd w:id="77"/>
    </w:p>
    <w:p w14:paraId="45B6232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78" w:name="_Toc278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第4.3.2项～第4.3.4项细化为：</w:t>
      </w:r>
      <w:bookmarkEnd w:id="78"/>
    </w:p>
    <w:p w14:paraId="66EF5C0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4.3.2 承包人不得将工程关键性工作分包给第三人。经发包人同意，承包人可将工程的其他部分或工作分包给第三人。分包包括专业分包和劳务分包。</w:t>
      </w:r>
    </w:p>
    <w:p w14:paraId="1674A691">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4.3.3 专业分包</w:t>
      </w:r>
    </w:p>
    <w:p w14:paraId="6BE52A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在工程施工过程中，承包人进行专业分包必须遵守以下规定：</w:t>
      </w:r>
    </w:p>
    <w:p w14:paraId="4CB3DB2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允许专业分包的工程范围仅限于非关键性工程或者适合专业化队伍施工的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1D12ED6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（2）专业分包人的资格能力（含安全生产能力）应与其分包工程的标准和规模相适应，且应当具备如下条件：</w:t>
      </w:r>
    </w:p>
    <w:p w14:paraId="670A3D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79" w:name="_Toc2925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a.具有经工商登记的法人资格；</w:t>
      </w:r>
      <w:bookmarkEnd w:id="79"/>
    </w:p>
    <w:p w14:paraId="69698A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80" w:name="_Toc11917"/>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b.具有从事类似工程经验的管理与技术人员；</w:t>
      </w:r>
      <w:bookmarkEnd w:id="80"/>
    </w:p>
    <w:p w14:paraId="57972A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81" w:name="_Toc2066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c.具有（自有或租赁）分包工程所需的施工设备。</w:t>
      </w:r>
      <w:bookmarkEnd w:id="81"/>
    </w:p>
    <w:p w14:paraId="238BDF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承包人应向监理人提交专业分包人的资格能力证明材料，经监理人审查并报发包人批准后，可以将相应专业工程分包给该专业分包人。</w:t>
      </w:r>
    </w:p>
    <w:p w14:paraId="0CC24B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（3）专业分包工程不得再次分包。</w:t>
      </w:r>
    </w:p>
    <w:p w14:paraId="197411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和专业分包人应当按照交通运输主管部门制定的统一格式依法签订专业分包合同，并履行合同约定的义务。专业分包合同必须遵循承包合同的各项原则，满足承包合同中的质量、安全、进度、环保以及其他技术、经济等要求。专业分包合同必须明确约定工程款支付条款、结算方式以及保证按期支付的相应措施，确保工程款的支付。承包人应在工程实施前，将经监理人审查同意后的分包合同报发包人备案。</w:t>
      </w:r>
    </w:p>
    <w:p w14:paraId="129D15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专业分包人应当设立项目管理机构，对所分包工程的施工活动实施管理。项目管理机构应当具有与分包工程的规模、技术复杂程度相适应的技术、经济管理人员，其中项目负责人和技术、财务、计量、质量、安全等主要管理人员必须是专业分包人本单位人员。</w:t>
      </w:r>
    </w:p>
    <w:p w14:paraId="4FD623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承包人应当建立健全相关分包管理制度和台账，对专业分包工程的质量、安全、进度和专业分包人的行为等实施全过程管理，按照合同约定对专业分包工程的实施向发包人负责，并承担赔偿责任。专业分包合同不免除承包合同中规定的承包人的责任或者义务。</w:t>
      </w:r>
    </w:p>
    <w:p w14:paraId="74B926C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（7）专业分包人应当依据专业分包合同的约定，组织分包工程的施工，并对分包工程的质量、安全和进度等实施有效控制。专业分包人对其分包的工程向承包人负责，并就所分包的工程向发包人承担连带责任。</w:t>
      </w:r>
    </w:p>
    <w:p w14:paraId="126433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承包人对施工现场安全负总责，并对专业分包人的安全生产进行培训和管理。专业分包人应将其专业分包工程的施工组织设计和施工安全方案报承包人备案。专业分包人对分包施工现场安全负责，发现事故隐患，应及时处理。</w:t>
      </w:r>
    </w:p>
    <w:p w14:paraId="708D5B8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违反上述规定之一者属违规分包。</w:t>
      </w:r>
    </w:p>
    <w:p w14:paraId="5DF7D6C2">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4.3.4 劳务分包</w:t>
      </w:r>
    </w:p>
    <w:p w14:paraId="2C36B72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在工程施工过程中，承包人进行劳务分包必须遵守以下规定：</w:t>
      </w:r>
    </w:p>
    <w:p w14:paraId="749DE3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（1）劳务分包人应具有施工劳务资质。</w:t>
      </w:r>
    </w:p>
    <w:p w14:paraId="6567F5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劳务分包应当依法签订劳务分包合同，劳务分包合同必须由承包人的法定代表人或其委托代理人与劳务分包人直接签订，不得由他人代签。承包人的项目经理部、项目经理、施工班组等不具备用工主体资格，不能与劳务分包人签订劳务分包合同。承包人应向发包人和监理人提交劳务分包合同副本并报项目所在地劳动保障部门备案。</w:t>
      </w:r>
    </w:p>
    <w:p w14:paraId="58D648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承包人雇用的劳务作业应加入到承包人的施工班组统一管理。有关施工质量、施工安全、施工进度、环境保护、技术方案、试验检测、材料保管与供应、机械设备等都必须由承包人管理与调配，不得以包代管。</w:t>
      </w:r>
    </w:p>
    <w:p w14:paraId="7D5EB5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（4）承包人应当对劳务分包人员进行安全培训和管理，劳务分包人不得将其分包的劳务作业再次分包。</w:t>
      </w:r>
    </w:p>
    <w:p w14:paraId="429DCEF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违反上述规定之一者属违规分包。本款补充第 4.3.6 项、第 4.3.7 项：</w:t>
      </w:r>
    </w:p>
    <w:p w14:paraId="126AF55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4.3.6 发包人对承包人与分包人之间的法律与经济纠纷不承担任何责任和义务。</w:t>
      </w:r>
    </w:p>
    <w:p w14:paraId="3A9D88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4.3.7 本项目的各项分包工作均应遵守《公路工程施工分包管理办法》的有关规定。</w:t>
      </w:r>
    </w:p>
    <w:p w14:paraId="5DC2EE5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82" w:name="_bookmark174"/>
      <w:bookmarkEnd w:id="82"/>
      <w:bookmarkStart w:id="83" w:name="_Toc139464304"/>
      <w:bookmarkStart w:id="84" w:name="_Toc139462740"/>
      <w:bookmarkStart w:id="85" w:name="_Toc120442995"/>
      <w:bookmarkStart w:id="86" w:name="_Toc13946353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4.4 联合体</w:t>
      </w:r>
      <w:bookmarkEnd w:id="83"/>
      <w:bookmarkEnd w:id="84"/>
      <w:bookmarkEnd w:id="85"/>
      <w:bookmarkEnd w:id="86"/>
    </w:p>
    <w:p w14:paraId="23C60C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本款补充第4.4.4项：</w:t>
      </w:r>
    </w:p>
    <w:p w14:paraId="6513E0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4.4.4 未经发包人事先同意，联合体的组成与结构不得变动。</w:t>
      </w:r>
    </w:p>
    <w:p w14:paraId="6E00F45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87" w:name="_bookmark175"/>
      <w:bookmarkEnd w:id="87"/>
      <w:bookmarkStart w:id="88" w:name="_Toc139462741"/>
      <w:bookmarkStart w:id="89" w:name="_Toc139464305"/>
      <w:bookmarkStart w:id="90" w:name="_Toc120442996"/>
      <w:bookmarkStart w:id="91" w:name="_Toc13946354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4.6 承包人人员的管理</w:t>
      </w:r>
      <w:bookmarkEnd w:id="88"/>
      <w:bookmarkEnd w:id="89"/>
      <w:bookmarkEnd w:id="90"/>
      <w:bookmarkEnd w:id="91"/>
    </w:p>
    <w:p w14:paraId="6B4877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92" w:name="_Toc661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第4.6.3项细化为：</w:t>
      </w:r>
      <w:bookmarkEnd w:id="92"/>
    </w:p>
    <w:p w14:paraId="031077C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7CAF8D0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本款补充第4.6.5项：</w:t>
      </w:r>
    </w:p>
    <w:p w14:paraId="0E0E3F7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4.6.5 尽管承包人已按承诺派遣了上述各类人员，但若这些人员仍不能满足合同进度计划和（或）质量要求时，监理人有权要求承包人继续增派或雇用这类人员， 并书面通知承包人和抄送发包人。承包人在接到上述通知后应立即执行监理人的上述指示，不得无故拖延，由此增加的费用和（或）工期延误由承包人承担。</w:t>
      </w:r>
    </w:p>
    <w:p w14:paraId="0CDA83C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93" w:name="_bookmark176"/>
      <w:bookmarkEnd w:id="93"/>
      <w:bookmarkStart w:id="94" w:name="_Toc120442997"/>
      <w:bookmarkStart w:id="95" w:name="_Toc139463541"/>
      <w:bookmarkStart w:id="96" w:name="_Toc139462742"/>
      <w:bookmarkStart w:id="97" w:name="_Toc13946430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4.7 撤换承包人项目经理和其他人员</w:t>
      </w:r>
      <w:bookmarkEnd w:id="94"/>
      <w:bookmarkEnd w:id="95"/>
      <w:bookmarkEnd w:id="96"/>
      <w:bookmarkEnd w:id="97"/>
    </w:p>
    <w:p w14:paraId="75DA388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2FA26E9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792B9EF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98" w:name="_bookmark177"/>
      <w:bookmarkEnd w:id="98"/>
      <w:bookmarkStart w:id="99" w:name="_Toc139464307"/>
      <w:bookmarkStart w:id="100" w:name="_Toc120442998"/>
      <w:bookmarkStart w:id="101" w:name="_Toc139463542"/>
      <w:bookmarkStart w:id="102" w:name="_Toc13946274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4.9 工程价款应专款专用</w:t>
      </w:r>
      <w:bookmarkEnd w:id="99"/>
      <w:bookmarkEnd w:id="100"/>
      <w:bookmarkEnd w:id="101"/>
      <w:bookmarkEnd w:id="102"/>
    </w:p>
    <w:p w14:paraId="03C167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1FAD231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w:t>
      </w:r>
    </w:p>
    <w:p w14:paraId="2D3B9A6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03" w:name="_bookmark178"/>
      <w:bookmarkEnd w:id="103"/>
      <w:bookmarkStart w:id="104" w:name="_Toc139464308"/>
      <w:bookmarkStart w:id="105" w:name="_Toc120442999"/>
      <w:bookmarkStart w:id="106" w:name="_Toc139462744"/>
      <w:bookmarkStart w:id="107" w:name="_Toc13946354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4.10 承包人现场查勘</w:t>
      </w:r>
      <w:bookmarkEnd w:id="104"/>
      <w:bookmarkEnd w:id="105"/>
      <w:bookmarkEnd w:id="106"/>
      <w:bookmarkEnd w:id="107"/>
    </w:p>
    <w:p w14:paraId="0DAAC27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08" w:name="_Toc2086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第4.10.1项细化为：</w:t>
      </w:r>
      <w:bookmarkEnd w:id="108"/>
    </w:p>
    <w:p w14:paraId="120895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14:paraId="4FF06B2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09" w:name="_bookmark179"/>
      <w:bookmarkEnd w:id="109"/>
      <w:bookmarkStart w:id="110" w:name="_Toc139463544"/>
      <w:bookmarkStart w:id="111" w:name="_Toc120443000"/>
      <w:bookmarkStart w:id="112" w:name="_Toc139462745"/>
      <w:bookmarkStart w:id="113" w:name="_Toc13946430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4.11 不利物质条件</w:t>
      </w:r>
      <w:bookmarkEnd w:id="110"/>
      <w:bookmarkEnd w:id="111"/>
      <w:bookmarkEnd w:id="112"/>
      <w:bookmarkEnd w:id="113"/>
    </w:p>
    <w:p w14:paraId="1D9D03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14" w:name="_Toc19336"/>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第4.11.2项细化为：</w:t>
      </w:r>
      <w:bookmarkEnd w:id="114"/>
    </w:p>
    <w:p w14:paraId="3CB3B2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4.11.2 承包人遇到不可预见的不利物质条件时，应采取适应不利物质条件的合理措施继续施工，并及时通知监理人。监理人应当及时发出指示，指示构成变更的， 按第 15 条约定办理。监理人没有发出指示的，承包人因采取合理措施而增加的费用和（或）工期延误，由发包人承担。</w:t>
      </w:r>
    </w:p>
    <w:p w14:paraId="03828E3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本款补充第4.11.3项：</w:t>
      </w:r>
    </w:p>
    <w:p w14:paraId="1B8069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4.11.3可预见的不利物质条件</w:t>
      </w:r>
    </w:p>
    <w:p w14:paraId="128FB25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（1）对于项目专用合同条款中已经明确指出的不利物质条件无论承包人是否有其经历和经验均视为承包人在接受合同时已预见其影响，并已在签约合同价中计入因其影响而可能发生的一切费用。</w:t>
      </w:r>
    </w:p>
    <w:p w14:paraId="3B8FF0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（2）对于项目专用合同条款未明确指出，但是在不利物质条件发生之前，监理人已经指示承包人有可能发生，但承包人未能及时采取有效措施，而导致的损失和后果均由承包人承担。</w:t>
      </w:r>
    </w:p>
    <w:p w14:paraId="1112A37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补充第4.12款、第4.13款</w:t>
      </w:r>
      <w:r>
        <w:rPr>
          <w:rFonts w:hint="eastAsia" w:ascii="宋体" w:hAnsi="宋体" w:eastAsia="宋体" w:cs="宋体"/>
          <w:color w:val="0D0D0D" w:themeColor="text1" w:themeTint="F2"/>
          <w14:textFill>
            <w14:solidFill>
              <w14:schemeClr w14:val="tx1">
                <w14:lumMod w14:val="95000"/>
                <w14:lumOff w14:val="5000"/>
              </w14:schemeClr>
            </w14:solidFill>
          </w14:textFill>
        </w:rPr>
        <w:t>：</w:t>
      </w:r>
    </w:p>
    <w:p w14:paraId="4B92AB7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15" w:name="_bookmark180"/>
      <w:bookmarkEnd w:id="115"/>
      <w:bookmarkStart w:id="116" w:name="_Toc139463545"/>
      <w:bookmarkStart w:id="117" w:name="_Toc139462746"/>
      <w:bookmarkStart w:id="118" w:name="_Toc120443001"/>
      <w:bookmarkStart w:id="119" w:name="_Toc13946431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4.12 投标文件的完备性</w:t>
      </w:r>
      <w:bookmarkEnd w:id="116"/>
      <w:bookmarkEnd w:id="117"/>
      <w:bookmarkEnd w:id="118"/>
      <w:bookmarkEnd w:id="119"/>
    </w:p>
    <w:p w14:paraId="0A7B6D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14:paraId="69BFA52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20" w:name="_bookmark181"/>
      <w:bookmarkEnd w:id="120"/>
      <w:bookmarkStart w:id="121" w:name="_Toc139462747"/>
      <w:bookmarkStart w:id="122" w:name="_Toc139464311"/>
      <w:bookmarkStart w:id="123" w:name="_Toc139463546"/>
      <w:bookmarkStart w:id="124" w:name="_Toc12044300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4.13 开展党建工作要求</w:t>
      </w:r>
      <w:bookmarkEnd w:id="121"/>
      <w:bookmarkEnd w:id="122"/>
      <w:bookmarkEnd w:id="123"/>
      <w:bookmarkEnd w:id="124"/>
    </w:p>
    <w:p w14:paraId="1ACE73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对于政府投资的国家高速公路项目，或承包人为国有控股或参股企业的，承包人应按规定在项目现场设立基层党组织。不满足上述情形的，承包人应创造条件使党员能够参加党组织生活并接受相应管理。</w:t>
      </w:r>
    </w:p>
    <w:p w14:paraId="424314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3BC8FA7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25" w:name="_bookmark182"/>
      <w:bookmarkEnd w:id="125"/>
      <w:bookmarkStart w:id="126" w:name="_Toc139462748"/>
      <w:bookmarkStart w:id="127" w:name="_Toc139463547"/>
      <w:bookmarkStart w:id="128" w:name="_Toc139464312"/>
      <w:bookmarkStart w:id="129" w:name="_Toc12044300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5.材料和工程设备</w:t>
      </w:r>
      <w:bookmarkEnd w:id="126"/>
      <w:bookmarkEnd w:id="127"/>
      <w:bookmarkEnd w:id="128"/>
      <w:bookmarkEnd w:id="129"/>
    </w:p>
    <w:p w14:paraId="17FFAC4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30" w:name="_bookmark183"/>
      <w:bookmarkEnd w:id="130"/>
      <w:bookmarkStart w:id="131" w:name="_Toc139463548"/>
      <w:bookmarkStart w:id="132" w:name="_Toc139464313"/>
      <w:bookmarkStart w:id="133" w:name="_Toc139462749"/>
      <w:bookmarkStart w:id="134" w:name="_Toc12044300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5.2 发包人提供的材料和工程设备</w:t>
      </w:r>
      <w:bookmarkEnd w:id="131"/>
      <w:bookmarkEnd w:id="132"/>
      <w:bookmarkEnd w:id="133"/>
      <w:bookmarkEnd w:id="134"/>
    </w:p>
    <w:p w14:paraId="70004EC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35" w:name="_Toc1124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第5.2.3项补充：</w:t>
      </w:r>
      <w:bookmarkEnd w:id="135"/>
    </w:p>
    <w:p w14:paraId="3D73027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1F00491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36" w:name="_bookmark184"/>
      <w:bookmarkEnd w:id="136"/>
      <w:bookmarkStart w:id="137" w:name="_Toc139464314"/>
      <w:bookmarkStart w:id="138" w:name="_Toc139462750"/>
      <w:bookmarkStart w:id="139" w:name="_Toc139463549"/>
      <w:bookmarkStart w:id="140" w:name="_Toc12044300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6.施工设备和临时设施</w:t>
      </w:r>
      <w:bookmarkEnd w:id="137"/>
      <w:bookmarkEnd w:id="138"/>
      <w:bookmarkEnd w:id="139"/>
      <w:bookmarkEnd w:id="140"/>
    </w:p>
    <w:p w14:paraId="30646FB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41" w:name="_bookmark185"/>
      <w:bookmarkEnd w:id="141"/>
      <w:bookmarkStart w:id="142" w:name="_Toc139464315"/>
      <w:bookmarkStart w:id="143" w:name="_Toc120443006"/>
      <w:bookmarkStart w:id="144" w:name="_Toc139463550"/>
      <w:bookmarkStart w:id="145" w:name="_Toc13946275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6.1 承包人提供的施工设备和临时设施</w:t>
      </w:r>
      <w:bookmarkEnd w:id="142"/>
      <w:bookmarkEnd w:id="143"/>
      <w:bookmarkEnd w:id="144"/>
      <w:bookmarkEnd w:id="145"/>
    </w:p>
    <w:p w14:paraId="3FD1339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46" w:name="_Toc19214"/>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第6.1.2项约定为：</w:t>
      </w:r>
      <w:bookmarkEnd w:id="146"/>
    </w:p>
    <w:p w14:paraId="1E5C6CE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承包人应自行承担修建临时设施的费用，需要临时占地的，应由承包人按第4.1.10项（1）目的规定办理。</w:t>
      </w:r>
    </w:p>
    <w:p w14:paraId="30D4F987">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47" w:name="_bookmark186"/>
      <w:bookmarkEnd w:id="147"/>
      <w:bookmarkStart w:id="148" w:name="_Toc139463551"/>
      <w:bookmarkStart w:id="149" w:name="_Toc139462752"/>
      <w:bookmarkStart w:id="150" w:name="_Toc139464316"/>
      <w:bookmarkStart w:id="151" w:name="_Toc12044300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6.3 要求承包人增加或更换施工设备</w:t>
      </w:r>
      <w:bookmarkEnd w:id="148"/>
      <w:bookmarkEnd w:id="149"/>
      <w:bookmarkEnd w:id="150"/>
      <w:bookmarkEnd w:id="151"/>
    </w:p>
    <w:p w14:paraId="755B907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4FF5515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14:paraId="54D6C42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2" w:name="_bookmark187"/>
      <w:bookmarkEnd w:id="152"/>
      <w:bookmarkStart w:id="153" w:name="_Toc120443008"/>
      <w:bookmarkStart w:id="154" w:name="_Toc139462753"/>
      <w:bookmarkStart w:id="155" w:name="_Toc139464317"/>
      <w:bookmarkStart w:id="156" w:name="_Toc13946355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7.交通运输</w:t>
      </w:r>
      <w:bookmarkEnd w:id="153"/>
      <w:bookmarkEnd w:id="154"/>
      <w:bookmarkEnd w:id="155"/>
      <w:bookmarkEnd w:id="156"/>
    </w:p>
    <w:p w14:paraId="7B7C966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57" w:name="_bookmark188"/>
      <w:bookmarkEnd w:id="157"/>
      <w:bookmarkStart w:id="158" w:name="_Toc139463553"/>
      <w:bookmarkStart w:id="159" w:name="_Toc139462754"/>
      <w:bookmarkStart w:id="160" w:name="_Toc139464318"/>
      <w:bookmarkStart w:id="161" w:name="_Toc12044300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7.1 道路通行权和场外设施</w:t>
      </w:r>
      <w:bookmarkEnd w:id="158"/>
      <w:bookmarkEnd w:id="159"/>
      <w:bookmarkEnd w:id="160"/>
      <w:bookmarkEnd w:id="161"/>
    </w:p>
    <w:p w14:paraId="5B503BF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3A7C2A6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0535647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62" w:name="_bookmark189"/>
      <w:bookmarkEnd w:id="162"/>
      <w:bookmarkStart w:id="163" w:name="_Toc120443010"/>
      <w:bookmarkStart w:id="164" w:name="_Toc139462755"/>
      <w:bookmarkStart w:id="165" w:name="_Toc139463554"/>
      <w:bookmarkStart w:id="166" w:name="_Toc13946431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8.测量放线</w:t>
      </w:r>
      <w:bookmarkEnd w:id="163"/>
      <w:bookmarkEnd w:id="164"/>
      <w:bookmarkEnd w:id="165"/>
      <w:bookmarkEnd w:id="166"/>
    </w:p>
    <w:p w14:paraId="7D34A78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67" w:name="_bookmark190"/>
      <w:bookmarkEnd w:id="167"/>
      <w:bookmarkStart w:id="168" w:name="_Toc139464320"/>
      <w:bookmarkStart w:id="169" w:name="_Toc120443011"/>
      <w:bookmarkStart w:id="170" w:name="_Toc139463555"/>
      <w:bookmarkStart w:id="171" w:name="_Toc13946275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8.4 监理人使用施工控制网</w:t>
      </w:r>
      <w:bookmarkEnd w:id="168"/>
      <w:bookmarkEnd w:id="169"/>
      <w:bookmarkEnd w:id="170"/>
      <w:bookmarkEnd w:id="171"/>
    </w:p>
    <w:p w14:paraId="17D1E26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229315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经监理人批准，其他相关承包人也可免费使用施工控制网。</w:t>
      </w:r>
    </w:p>
    <w:p w14:paraId="331BA3D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72" w:name="_bookmark191"/>
      <w:bookmarkEnd w:id="172"/>
      <w:bookmarkStart w:id="173" w:name="_Toc120443012"/>
      <w:bookmarkStart w:id="174" w:name="_Toc139463556"/>
      <w:bookmarkStart w:id="175" w:name="_Toc139464321"/>
      <w:bookmarkStart w:id="176" w:name="_Toc13946275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9.施工安全、治安保卫和环境保护</w:t>
      </w:r>
      <w:bookmarkEnd w:id="173"/>
      <w:bookmarkEnd w:id="174"/>
      <w:bookmarkEnd w:id="175"/>
      <w:bookmarkEnd w:id="176"/>
    </w:p>
    <w:p w14:paraId="44F89AA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77" w:name="_bookmark192"/>
      <w:bookmarkEnd w:id="177"/>
      <w:bookmarkStart w:id="178" w:name="_Toc139462758"/>
      <w:bookmarkStart w:id="179" w:name="_Toc120443013"/>
      <w:bookmarkStart w:id="180" w:name="_Toc139463557"/>
      <w:bookmarkStart w:id="181" w:name="_Toc13946432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9.2 承包人的施工安全责任</w:t>
      </w:r>
      <w:bookmarkEnd w:id="178"/>
      <w:bookmarkEnd w:id="179"/>
      <w:bookmarkEnd w:id="180"/>
      <w:bookmarkEnd w:id="181"/>
    </w:p>
    <w:p w14:paraId="2BD088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82" w:name="_Toc2705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第9.2.1项细化为：</w:t>
      </w:r>
      <w:bookmarkEnd w:id="182"/>
    </w:p>
    <w:p w14:paraId="1C5A1A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08108ED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承包人应根据本工程的实际安全施工要求，编制施工安全技术措施，并在签订合同协议书后 28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35323CA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本项目需要编制专项施工方案的工程包括但不限于以下内容：</w:t>
      </w:r>
    </w:p>
    <w:p w14:paraId="3FFA65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（1）不良地质条件下有潜在危险性的土方、石方开挖；</w:t>
      </w:r>
    </w:p>
    <w:p w14:paraId="4E2E4B0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（2）滑坡和高边坡处理；</w:t>
      </w:r>
    </w:p>
    <w:p w14:paraId="0F3819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（3）桩基础、挡墙基础、深水基础及围堰工程；</w:t>
      </w:r>
    </w:p>
    <w:p w14:paraId="5A71EC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（4）桥梁工程中的梁、拱、柱等构件施工等；</w:t>
      </w:r>
    </w:p>
    <w:p w14:paraId="4DFC9B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（5）隧道工程中的不良地质隧道、高瓦斯隧道等；</w:t>
      </w:r>
    </w:p>
    <w:p w14:paraId="0DCE601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（6）水上工程中的打桩船作业、施工船作业、外海孤岛作业、边通航边施工作业等；</w:t>
      </w:r>
    </w:p>
    <w:p w14:paraId="4AEA24B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（7）水下工程中的水下焊接、混凝土浇筑、爆破工程等；</w:t>
      </w:r>
    </w:p>
    <w:p w14:paraId="627CF31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（8）爆破工程；</w:t>
      </w:r>
    </w:p>
    <w:p w14:paraId="0C77FE8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（9）大型临时工程中的大型支架、模板、便桥的架设与拆除；桥梁、码头的加固与拆除；</w:t>
      </w:r>
    </w:p>
    <w:p w14:paraId="5DA992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（10）其他危险性较大的工程。</w:t>
      </w:r>
    </w:p>
    <w:p w14:paraId="433AD7B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监理人和发包人在检查中发现有安全问题或有违反安全管理规章制度的情况时，可视为承包人违约，应按第22.1款的规定办理。</w:t>
      </w:r>
    </w:p>
    <w:p w14:paraId="3457629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183" w:name="_Toc889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第9.2.5项细化为：</w:t>
      </w:r>
      <w:bookmarkEnd w:id="183"/>
    </w:p>
    <w:p w14:paraId="19AE45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除项目专用合同条款另有约定外，</w:t>
      </w:r>
      <w:r>
        <w:rPr>
          <w:rFonts w:hint="eastAsia" w:ascii="宋体" w:hAnsi="宋体" w:eastAsia="宋体" w:cs="宋体"/>
          <w:color w:val="0D0D0D" w:themeColor="text1" w:themeTint="F2"/>
          <w:szCs w:val="24"/>
          <w:highlight w:val="none"/>
          <w14:textFill>
            <w14:solidFill>
              <w14:schemeClr w14:val="tx1">
                <w14:lumMod w14:val="95000"/>
                <w14:lumOff w14:val="5000"/>
              </w14:schemeClr>
            </w14:solidFill>
          </w14:textFill>
        </w:rPr>
        <w:t>安全生产费用应</w:t>
      </w:r>
      <w:r>
        <w:rPr>
          <w:rFonts w:hint="eastAsia" w:ascii="宋体" w:hAnsi="宋体" w:eastAsia="宋体" w:cs="宋体"/>
          <w:color w:val="0D0D0D" w:themeColor="text1" w:themeTint="F2"/>
          <w:szCs w:val="24"/>
          <w:highlight w:val="none"/>
          <w:lang w:val="en-US" w:eastAsia="zh-CN"/>
          <w14:textFill>
            <w14:solidFill>
              <w14:schemeClr w14:val="tx1">
                <w14:lumMod w14:val="95000"/>
                <w14:lumOff w14:val="5000"/>
              </w14:schemeClr>
            </w14:solidFill>
          </w14:textFill>
        </w:rPr>
        <w:t>为投标价（不含安全生产费及建筑工程一切险及第三者责任险的保险）的1.5%</w:t>
      </w:r>
      <w:r>
        <w:rPr>
          <w:rFonts w:hint="eastAsia" w:ascii="宋体" w:hAnsi="宋体" w:eastAsia="宋体" w:cs="宋体"/>
          <w:strike w:val="0"/>
          <w:dstrike w:val="0"/>
          <w:color w:val="0D0D0D" w:themeColor="text1" w:themeTint="F2"/>
          <w:szCs w:val="24"/>
          <w:highlight w:val="none"/>
          <w:lang w:val="en-US" w:eastAsia="zh-CN"/>
          <w14:textFill>
            <w14:solidFill>
              <w14:schemeClr w14:val="tx1">
                <w14:lumMod w14:val="95000"/>
                <w14:lumOff w14:val="5000"/>
              </w14:schemeClr>
            </w14:solidFill>
          </w14:textFill>
        </w:rPr>
        <w:t>（若发包人公布了最高投标限价时，按最高投标限价的1.5%计）</w:t>
      </w:r>
      <w:r>
        <w:rPr>
          <w:rFonts w:hint="eastAsia" w:ascii="宋体" w:hAnsi="宋体" w:eastAsia="宋体" w:cs="宋体"/>
          <w:strike w:val="0"/>
          <w:color w:val="0D0D0D" w:themeColor="text1" w:themeTint="F2"/>
          <w:szCs w:val="24"/>
          <w:highlight w:val="none"/>
          <w14:textFill>
            <w14:solidFill>
              <w14:schemeClr w14:val="tx1">
                <w14:lumMod w14:val="95000"/>
                <w14:lumOff w14:val="5000"/>
              </w14:schemeClr>
            </w14:solidFill>
          </w14:textFill>
        </w:rPr>
        <w:t>。安全生产费用应用于施工安全防护用具及设施的采购和更新、安全施工措施的落实、安全生产条件的改善，不得挪作他用</w:t>
      </w:r>
      <w:r>
        <w:rPr>
          <w:rFonts w:hint="eastAsia" w:ascii="宋体" w:hAnsi="宋体" w:eastAsia="宋体" w:cs="宋体"/>
          <w:strike w:val="0"/>
          <w:color w:val="0D0D0D" w:themeColor="text1" w:themeTint="F2"/>
          <w:szCs w:val="24"/>
          <w:highlight w:val="none"/>
          <w:lang w:eastAsia="zh-CN"/>
          <w14:textFill>
            <w14:solidFill>
              <w14:schemeClr w14:val="tx1">
                <w14:lumMod w14:val="95000"/>
                <w14:lumOff w14:val="5000"/>
              </w14:schemeClr>
            </w14:solidFill>
          </w14:textFill>
        </w:rPr>
        <w:t>。</w:t>
      </w:r>
      <w:r>
        <w:rPr>
          <w:rFonts w:hint="eastAsia" w:ascii="宋体" w:hAnsi="宋体" w:eastAsia="宋体" w:cs="宋体"/>
          <w:strike w:val="0"/>
          <w:color w:val="0D0D0D" w:themeColor="text1" w:themeTint="F2"/>
          <w:szCs w:val="24"/>
          <w:highlight w:val="none"/>
          <w14:textFill>
            <w14:solidFill>
              <w14:schemeClr w14:val="tx1">
                <w14:lumMod w14:val="95000"/>
                <w14:lumOff w14:val="5000"/>
              </w14:schemeClr>
            </w14:solidFill>
          </w14:textFill>
        </w:rPr>
        <w:t>如承</w:t>
      </w:r>
      <w:r>
        <w:rPr>
          <w:rFonts w:hint="eastAsia" w:ascii="宋体" w:hAnsi="宋体" w:eastAsia="宋体" w:cs="宋体"/>
          <w:color w:val="0D0D0D" w:themeColor="text1" w:themeTint="F2"/>
          <w:szCs w:val="24"/>
          <w:highlight w:val="none"/>
          <w14:textFill>
            <w14:solidFill>
              <w14:schemeClr w14:val="tx1">
                <w14:lumMod w14:val="95000"/>
                <w14:lumOff w14:val="5000"/>
              </w14:schemeClr>
            </w14:solidFill>
          </w14:textFill>
        </w:rPr>
        <w:t>包人在</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14:paraId="6C9F84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9.2.8 项~第 9.2.11 项：</w:t>
      </w:r>
    </w:p>
    <w:p w14:paraId="5E3EB98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9.2.8承包人应充分关注和保障所有在现场工作的人员的安全，采取以下有效措施，使现场和本合同工程的实施保持有条不紊，以免使上述人员的安全受到威胁。</w:t>
      </w:r>
    </w:p>
    <w:p w14:paraId="5DD5E0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（1）按《公路水运工程安全生产监督管理办法》规定的最低数量和资质条件配备专职安全生产管理人员；</w:t>
      </w:r>
    </w:p>
    <w:p w14:paraId="6A0E3E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14:paraId="7C1207C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（3）所有施工机具设备和高空作业设备均应定期检查，并有安全员的签字记录；</w:t>
      </w:r>
    </w:p>
    <w:p w14:paraId="1B93598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（4）根据本合同各单位工程的施工特点，严格执行《公路水运工程安全生产监督管理办法》《公路工程施工安全技术规范》等有关规定。</w:t>
      </w:r>
    </w:p>
    <w:p w14:paraId="4DDF9CD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9.2.9 为了保护本合同工程免遭损坏，或为了现场附近和过往群众的安全与方便，在确有必要的时候和地方，或当监理人或有关主管部门要求时，承包人应自费提供照明、警卫、护栅、警告标志等安全防护设施。</w:t>
      </w:r>
    </w:p>
    <w:p w14:paraId="5E6D5A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9.2.10 在通航水域施工时，承包人应与当地主管部门取得联系，设置必要的导航标志，及时发布航行通告，确保施工水域安全。</w:t>
      </w:r>
    </w:p>
    <w:p w14:paraId="49142E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7FEBE67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84" w:name="_bookmark193"/>
      <w:bookmarkEnd w:id="184"/>
      <w:bookmarkStart w:id="185" w:name="_Toc139462759"/>
      <w:bookmarkStart w:id="186" w:name="_Toc120443014"/>
      <w:bookmarkStart w:id="187" w:name="_Toc139463558"/>
      <w:bookmarkStart w:id="188" w:name="_Toc13946432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9.4 环境保护</w:t>
      </w:r>
      <w:bookmarkEnd w:id="185"/>
      <w:bookmarkEnd w:id="186"/>
      <w:bookmarkEnd w:id="187"/>
      <w:bookmarkEnd w:id="188"/>
    </w:p>
    <w:p w14:paraId="514BEFE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9.4.7 项~第 9.4.11 项，将绿色施工方案纳入施工组织要求，要严格落实生态环境保护措施：</w:t>
      </w:r>
    </w:p>
    <w:p w14:paraId="58E1D6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9.4.7 承包人应切实执行技术规范中有关环境保护方面的条款和规定。</w:t>
      </w:r>
    </w:p>
    <w:p w14:paraId="704DDC9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w:t>
      </w:r>
    </w:p>
    <w:p w14:paraId="36EB9A1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（2）对于公路施工中粉尘污染的主要污染源――灰土拌和、施工车辆和筑路机械运行及运输产生的扬尘，应采取有效措施减轻其对施工现场的大气污染，保护人民健康，如：</w:t>
      </w:r>
    </w:p>
    <w:p w14:paraId="0451761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a.拌和设备应有较好的密封，或有防尘设备。</w:t>
      </w:r>
    </w:p>
    <w:p w14:paraId="563B52F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b.施工通道、沥青混凝土拌和站及灰土拌和站应经常进行洒水降尘。</w:t>
      </w:r>
    </w:p>
    <w:p w14:paraId="69398B3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c.路面施工应注意保持水分，以免扬尘。</w:t>
      </w:r>
    </w:p>
    <w:p w14:paraId="4174E80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d.隧道出渣和桥梁钻孔灌注桩施工时排出的泥浆要进行妥善处理，严禁向河流或农田排放。</w:t>
      </w:r>
    </w:p>
    <w:p w14:paraId="14B539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（3）采取可靠措施保证原有交通的正常通行，维持沿线村镇的居民饮水、农田灌溉、生产生活用电及通信等管线的正常使用。</w:t>
      </w:r>
    </w:p>
    <w:p w14:paraId="06349E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66D309B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9.4.9 在施工期间，承包人应随时保持现场整洁，施工设备和材料、工程设备应整齐妥善存放和储存，废料与垃圾及不再需要的临时设施应及时从现场清除、拆除并运走。</w:t>
      </w:r>
    </w:p>
    <w:p w14:paraId="208CC1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6F1A1D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 要完善施工中的临时排水系统，加强施工便道的管理。取（弃）土场必须先挡后弃， 严禁在指定的取（弃）土场以外的地方乱挖乱弃。</w:t>
      </w:r>
    </w:p>
    <w:p w14:paraId="1425665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89" w:name="_bookmark194"/>
      <w:bookmarkEnd w:id="189"/>
      <w:bookmarkStart w:id="190" w:name="_Toc139463559"/>
      <w:bookmarkStart w:id="191" w:name="_Toc120443015"/>
      <w:bookmarkStart w:id="192" w:name="_Toc139462760"/>
      <w:bookmarkStart w:id="193" w:name="_Toc13946432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 进度计划</w:t>
      </w:r>
      <w:bookmarkEnd w:id="190"/>
      <w:bookmarkEnd w:id="191"/>
      <w:bookmarkEnd w:id="192"/>
      <w:bookmarkEnd w:id="193"/>
    </w:p>
    <w:p w14:paraId="1678B43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94" w:name="_bookmark195"/>
      <w:bookmarkEnd w:id="194"/>
      <w:bookmarkStart w:id="195" w:name="_Toc139463560"/>
      <w:bookmarkStart w:id="196" w:name="_Toc139464325"/>
      <w:bookmarkStart w:id="197" w:name="_Toc120443016"/>
      <w:bookmarkStart w:id="198" w:name="_Toc1394627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10.1 合同进度计划</w:t>
      </w:r>
      <w:bookmarkEnd w:id="195"/>
      <w:bookmarkEnd w:id="196"/>
      <w:bookmarkEnd w:id="197"/>
      <w:bookmarkEnd w:id="198"/>
    </w:p>
    <w:p w14:paraId="02B9989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0EC61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承包人编制施工方案说明的内容见项目专用合同条款。</w:t>
      </w:r>
    </w:p>
    <w:p w14:paraId="6AAD99F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承包人向监理人报送施工进度计划和施工方案说明的期限：签订合同协议书后28 天之内。</w:t>
      </w:r>
    </w:p>
    <w:p w14:paraId="18E8102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监理人应在14天内对承包人施工进度计划和施工方案说明予以批复或提出修改意见。</w:t>
      </w:r>
    </w:p>
    <w:p w14:paraId="7A9AD24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合同进度计划应按照关键线路网络图和主要工作横道图两种形式分别编绘，并应包括每月预计完成的工作量和形象进度。</w:t>
      </w:r>
    </w:p>
    <w:p w14:paraId="546D1D5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199" w:name="_bookmark196"/>
      <w:bookmarkEnd w:id="199"/>
      <w:bookmarkStart w:id="200" w:name="_Toc120443017"/>
      <w:bookmarkStart w:id="201" w:name="_Toc139463561"/>
      <w:bookmarkStart w:id="202" w:name="_Toc139462762"/>
      <w:bookmarkStart w:id="203" w:name="_Toc13946432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10.2 合同进度计划的修订</w:t>
      </w:r>
      <w:bookmarkEnd w:id="200"/>
      <w:bookmarkEnd w:id="201"/>
      <w:bookmarkEnd w:id="202"/>
      <w:bookmarkEnd w:id="203"/>
    </w:p>
    <w:p w14:paraId="788D45E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0D0BC6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承包人提交合同进度计划修订申请报告，并附有关措施和相关资料的期限：实际进度发生滞后的当月25日前。</w:t>
      </w:r>
    </w:p>
    <w:p w14:paraId="5CB9642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监理人批复修订合同进度计划的期限：收到修订合同进度计划后 14 天内。</w:t>
      </w:r>
    </w:p>
    <w:p w14:paraId="63A5EE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本条补充第10.3款、第10.4款：</w:t>
      </w:r>
    </w:p>
    <w:p w14:paraId="6E1922F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4" w:name="_bookmark197"/>
      <w:bookmarkEnd w:id="204"/>
      <w:bookmarkStart w:id="205" w:name="_Toc139464327"/>
      <w:bookmarkStart w:id="206" w:name="_Toc120443018"/>
      <w:bookmarkStart w:id="207" w:name="_Toc139462763"/>
      <w:bookmarkStart w:id="208" w:name="_Toc13946356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10.3 年度施工计划</w:t>
      </w:r>
      <w:bookmarkEnd w:id="205"/>
      <w:bookmarkEnd w:id="206"/>
      <w:bookmarkEnd w:id="207"/>
      <w:bookmarkEnd w:id="208"/>
    </w:p>
    <w:p w14:paraId="5B327A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承包人应在每年 11 月底前，根据已同意的合同进度计划或其修订的计划，向监理人提交2份格式和内容符合监理人合理规定的下一年度的施工计划，以供审查。该计划应包括本年度估计完成的和下一年度预计完成的分项工程数量和工作量，以及为实施此计划将采取的措施。</w:t>
      </w:r>
    </w:p>
    <w:p w14:paraId="486492E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09" w:name="_bookmark198"/>
      <w:bookmarkEnd w:id="209"/>
      <w:bookmarkStart w:id="210" w:name="_Toc139463563"/>
      <w:bookmarkStart w:id="211" w:name="_Toc120443019"/>
      <w:bookmarkStart w:id="212" w:name="_Toc139464328"/>
      <w:bookmarkStart w:id="213" w:name="_Toc13946276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10.4 合同用款计划</w:t>
      </w:r>
      <w:bookmarkEnd w:id="210"/>
      <w:bookmarkEnd w:id="211"/>
      <w:bookmarkEnd w:id="212"/>
      <w:bookmarkEnd w:id="213"/>
    </w:p>
    <w:p w14:paraId="60377A9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承包人应在签订本合同协议书后 28 天之内，按招标文件中规定的格式，向监理人提交 2 份按合同规定承包人有权得到支付的详细的季度合同用款计划，以备监理人查阅。如果监理人提出要求，承包人还应按季度提交修订的合同用款计划。</w:t>
      </w:r>
    </w:p>
    <w:p w14:paraId="66C106E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14" w:name="_bookmark199"/>
      <w:bookmarkEnd w:id="214"/>
      <w:bookmarkStart w:id="215" w:name="_Toc120443020"/>
      <w:bookmarkStart w:id="216" w:name="_Toc139463564"/>
      <w:bookmarkStart w:id="217" w:name="_Toc139464329"/>
      <w:bookmarkStart w:id="218" w:name="_Toc13946276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11.开工和交工</w:t>
      </w:r>
      <w:bookmarkEnd w:id="215"/>
      <w:bookmarkEnd w:id="216"/>
      <w:bookmarkEnd w:id="217"/>
      <w:bookmarkEnd w:id="218"/>
    </w:p>
    <w:p w14:paraId="74DA46D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19" w:name="_bookmark200"/>
      <w:bookmarkEnd w:id="219"/>
      <w:bookmarkStart w:id="220" w:name="_Toc139464330"/>
      <w:bookmarkStart w:id="221" w:name="_Toc139462766"/>
      <w:bookmarkStart w:id="222" w:name="_Toc139463565"/>
      <w:bookmarkStart w:id="223" w:name="_Toc12044302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11.1 开工</w:t>
      </w:r>
      <w:bookmarkEnd w:id="220"/>
      <w:bookmarkEnd w:id="221"/>
      <w:bookmarkEnd w:id="222"/>
      <w:bookmarkEnd w:id="223"/>
    </w:p>
    <w:p w14:paraId="3F70EF5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24" w:name="_Toc2381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第11.1.2项补充：</w:t>
      </w:r>
      <w:bookmarkEnd w:id="224"/>
    </w:p>
    <w:p w14:paraId="757B8A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承包人应在分部工程开工前14天向监理人提交分部工程开工报审表，若承包人的开工准备、工作计划和质量控制方法是可接受的且已获得批准，则经监理人书面同意，分部工程才能开工。</w:t>
      </w:r>
    </w:p>
    <w:p w14:paraId="7904BE7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25" w:name="_bookmark201"/>
      <w:bookmarkEnd w:id="225"/>
      <w:bookmarkStart w:id="226" w:name="_Toc139464331"/>
      <w:bookmarkStart w:id="227" w:name="_Toc139463566"/>
      <w:bookmarkStart w:id="228" w:name="_Toc139462767"/>
      <w:bookmarkStart w:id="229" w:name="_Toc12044302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11.3 发包人的工期延误</w:t>
      </w:r>
      <w:bookmarkEnd w:id="226"/>
      <w:bookmarkEnd w:id="227"/>
      <w:bookmarkEnd w:id="228"/>
      <w:bookmarkEnd w:id="229"/>
    </w:p>
    <w:p w14:paraId="00C438D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4E76E3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即使由于上述原因造成工期延误，如果受影响的工程并非处在工程施工进度网络计划的关键线路上，则承包人无权要求延长总工期。</w:t>
      </w:r>
    </w:p>
    <w:p w14:paraId="5262A2A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30" w:name="_bookmark202"/>
      <w:bookmarkEnd w:id="230"/>
      <w:bookmarkStart w:id="231" w:name="_Toc139464332"/>
      <w:bookmarkStart w:id="232" w:name="_Toc139462768"/>
      <w:bookmarkStart w:id="233" w:name="_Toc120443023"/>
      <w:bookmarkStart w:id="234" w:name="_Toc13946356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11.4 异常恶劣的气候条件</w:t>
      </w:r>
      <w:bookmarkEnd w:id="231"/>
      <w:bookmarkEnd w:id="232"/>
      <w:bookmarkEnd w:id="233"/>
      <w:bookmarkEnd w:id="234"/>
    </w:p>
    <w:p w14:paraId="1FA6A8B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292191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异常气候是指项目所在地 30 年以上一遇的罕见气候现象</w:t>
      </w:r>
      <w:r>
        <w:rPr>
          <w:rFonts w:hint="eastAsia" w:ascii="宋体" w:hAnsi="宋体" w:eastAsia="宋体" w:cs="宋体"/>
        </w:rPr>
        <w:fldChar w:fldCharType="begin"/>
      </w:r>
      <w:r>
        <w:rPr>
          <w:rFonts w:hint="eastAsia" w:ascii="宋体" w:hAnsi="宋体" w:eastAsia="宋体" w:cs="宋体"/>
        </w:rPr>
        <w:instrText xml:space="preserve"> HYPERLINK "http://baike.baidu.com/view/8193.htm" \h </w:instrText>
      </w:r>
      <w:r>
        <w:rPr>
          <w:rFonts w:hint="eastAsia" w:ascii="宋体" w:hAnsi="宋体" w:eastAsia="宋体" w:cs="宋体"/>
        </w:rPr>
        <w:fldChar w:fldCharType="separate"/>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（包括温度</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fldChar w:fldCharType="end"/>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、降水、降雪、风等）。异常恶劣的气候条件在项目专用合同条款中作具体约定。</w:t>
      </w:r>
    </w:p>
    <w:p w14:paraId="642DFC5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35" w:name="_bookmark203"/>
      <w:bookmarkEnd w:id="235"/>
      <w:bookmarkStart w:id="236" w:name="_Toc120443024"/>
      <w:bookmarkStart w:id="237" w:name="_Toc139462769"/>
      <w:bookmarkStart w:id="238" w:name="_Toc139464333"/>
      <w:bookmarkStart w:id="239" w:name="_Toc13946356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11.5 承包人的工期延误</w:t>
      </w:r>
      <w:bookmarkEnd w:id="236"/>
      <w:bookmarkEnd w:id="237"/>
      <w:bookmarkEnd w:id="238"/>
      <w:bookmarkEnd w:id="239"/>
    </w:p>
    <w:p w14:paraId="2F7935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032B2D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应严格执行监理人批准的合同进度计划，对工作量计划和形象进度计划分别控制。除第11.3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58A861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如果承包人在接到监理人通知后的14天内，未能采取加快工程进度的措施，致使实际工程进度进一步滞后，或承包人虽采取了一些措施，仍无法按预计工期交工时，监理人应立即通知发包人。发包人在向承包人发出书面警告通知14天后，发包人可按第 22.1 款终止对承包人的雇用，也可将本合同工程中的一部分工作交由其他承包人或其他分包人完成。在不解除本合同规定的承包人责任和义务的同时，承包人应承担因此所增加的一切费用。</w:t>
      </w:r>
    </w:p>
    <w:p w14:paraId="2C4E19D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由于承包人原因造成工期延误，承包人应支付逾期交工违约金。逾期交工违约金的计算方法在项目专用合同条款数据表中约定，时间自预定的交工日期起到交工验收证书中写明的实际交工日期止（扣除已批准的延长工期），按天计算。逾期交工违约金累计金额最高不超过项目专用合同条款数据表中写明的限额。发包人可以从应付或到期应付给承包人的任何款项中或采用其他方法扣除此违约金。</w:t>
      </w:r>
    </w:p>
    <w:p w14:paraId="14085D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（4）承包人支付逾期交工违约金，不免除承包人完成工程及修补缺陷的义务。</w:t>
      </w:r>
    </w:p>
    <w:p w14:paraId="536A86B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14:paraId="4FCA7D5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40" w:name="_bookmark204"/>
      <w:bookmarkEnd w:id="240"/>
      <w:bookmarkStart w:id="241" w:name="_Toc120443025"/>
      <w:bookmarkStart w:id="242" w:name="_Toc139464334"/>
      <w:bookmarkStart w:id="243" w:name="_Toc139462770"/>
      <w:bookmarkStart w:id="244" w:name="_Toc13946356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11.6 工期提前</w:t>
      </w:r>
      <w:bookmarkEnd w:id="241"/>
      <w:bookmarkEnd w:id="242"/>
      <w:bookmarkEnd w:id="243"/>
      <w:bookmarkEnd w:id="244"/>
    </w:p>
    <w:p w14:paraId="3BFAF5C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5379D7D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发包人不得随意要求承包人提前交工，承包人也不得随意提出提前交工的建议。如遇特殊情况，确需将工期提前的，发包人和承包人必须采取有效措施，确保工程质量。</w:t>
      </w:r>
    </w:p>
    <w:p w14:paraId="76DD02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1A2F948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本条补充第11.7款：</w:t>
      </w:r>
    </w:p>
    <w:p w14:paraId="1D7339C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45" w:name="_bookmark205"/>
      <w:bookmarkEnd w:id="245"/>
      <w:bookmarkStart w:id="246" w:name="_Toc139463570"/>
      <w:bookmarkStart w:id="247" w:name="_Toc139462771"/>
      <w:bookmarkStart w:id="248" w:name="_Toc139464335"/>
      <w:bookmarkStart w:id="249" w:name="_Toc12044302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11.7 工作时间的限制</w:t>
      </w:r>
      <w:bookmarkEnd w:id="246"/>
      <w:bookmarkEnd w:id="247"/>
      <w:bookmarkEnd w:id="248"/>
      <w:bookmarkEnd w:id="249"/>
    </w:p>
    <w:p w14:paraId="3E1BF8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夜间或国家规定的节假日进行永久工程的施工，应向监理人报告，以便监理人履行监理职责和义务。但是，为了抢救生命或保护财产，或为了工程的安全、质量而不可避免地短暂作业，则不必事先向监理人报告。但承包人应在事后立即向监理人报告。</w:t>
      </w:r>
    </w:p>
    <w:p w14:paraId="23FD0C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本款规定不适用于习惯上或施工本身要求实行连续生产的作业。</w:t>
      </w:r>
    </w:p>
    <w:p w14:paraId="5C650F2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0" w:name="_bookmark206"/>
      <w:bookmarkEnd w:id="250"/>
      <w:bookmarkStart w:id="251" w:name="_Toc139464336"/>
      <w:bookmarkStart w:id="252" w:name="_Toc139463571"/>
      <w:bookmarkStart w:id="253" w:name="_Toc139462772"/>
      <w:bookmarkStart w:id="254" w:name="_Toc12044302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12.暂停施工</w:t>
      </w:r>
      <w:bookmarkEnd w:id="251"/>
      <w:bookmarkEnd w:id="252"/>
      <w:bookmarkEnd w:id="253"/>
      <w:bookmarkEnd w:id="254"/>
    </w:p>
    <w:p w14:paraId="0416254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55" w:name="_bookmark207"/>
      <w:bookmarkEnd w:id="255"/>
      <w:bookmarkStart w:id="256" w:name="_Toc120443028"/>
      <w:bookmarkStart w:id="257" w:name="_Toc139463572"/>
      <w:bookmarkStart w:id="258" w:name="_Toc139462773"/>
      <w:bookmarkStart w:id="259" w:name="_Toc13946433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12.1 承包人暂停施工的责任</w:t>
      </w:r>
      <w:bookmarkEnd w:id="256"/>
      <w:bookmarkEnd w:id="257"/>
      <w:bookmarkEnd w:id="258"/>
      <w:bookmarkEnd w:id="259"/>
    </w:p>
    <w:p w14:paraId="4E8D62D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本款第（5）项细化为：</w:t>
      </w:r>
    </w:p>
    <w:p w14:paraId="01FB54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（5）现场气候条件导致的必要停工（第 11.4 款约定的异常恶劣的气候条件除外）；</w:t>
      </w:r>
    </w:p>
    <w:p w14:paraId="37F5B8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（6）项目专用合同条款可能约定的由承包人承担的其他暂停施工。</w:t>
      </w:r>
    </w:p>
    <w:p w14:paraId="2DEDDA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60" w:name="_bookmark208"/>
      <w:bookmarkEnd w:id="260"/>
      <w:bookmarkStart w:id="261" w:name="_Toc120443029"/>
      <w:bookmarkStart w:id="262" w:name="_Toc139462774"/>
      <w:bookmarkStart w:id="263" w:name="_Toc139463573"/>
      <w:bookmarkStart w:id="264" w:name="_Toc13946433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 工程质量</w:t>
      </w:r>
      <w:bookmarkEnd w:id="261"/>
      <w:bookmarkEnd w:id="262"/>
      <w:bookmarkEnd w:id="263"/>
      <w:bookmarkEnd w:id="264"/>
    </w:p>
    <w:p w14:paraId="5769653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65" w:name="_bookmark209"/>
      <w:bookmarkEnd w:id="265"/>
      <w:bookmarkStart w:id="266" w:name="_Toc139464339"/>
      <w:bookmarkStart w:id="267" w:name="_Toc139462775"/>
      <w:bookmarkStart w:id="268" w:name="_Toc139463574"/>
      <w:bookmarkStart w:id="269" w:name="_Toc12044303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13.1 工程质量要求</w:t>
      </w:r>
      <w:bookmarkEnd w:id="266"/>
      <w:bookmarkEnd w:id="267"/>
      <w:bookmarkEnd w:id="268"/>
      <w:bookmarkEnd w:id="269"/>
    </w:p>
    <w:p w14:paraId="115F784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70" w:name="_Toc2061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13.1.1 项约定为：</w:t>
      </w:r>
      <w:bookmarkEnd w:id="270"/>
    </w:p>
    <w:p w14:paraId="5324FF4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工程质量验收按技术规范及</w:t>
      </w:r>
      <w:r>
        <w:rPr>
          <w:rFonts w:hint="eastAsia" w:ascii="宋体" w:hAnsi="宋体" w:eastAsia="宋体" w:cs="宋体"/>
          <w:color w:val="0D0D0D" w:themeColor="text1" w:themeTint="F2"/>
          <w:szCs w:val="24"/>
          <w:lang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szCs w:val="24"/>
          <w:lang w:val="en-US" w:eastAsia="zh-CN"/>
          <w14:textFill>
            <w14:solidFill>
              <w14:schemeClr w14:val="tx1">
                <w14:lumMod w14:val="95000"/>
                <w14:lumOff w14:val="5000"/>
              </w14:schemeClr>
            </w14:solidFill>
          </w14:textFill>
        </w:rPr>
        <w:t>公路工程质量检验评定标准》执行。</w:t>
      </w:r>
    </w:p>
    <w:p w14:paraId="78980FE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13.1.4 项、第 13.1.5 项：</w:t>
      </w:r>
    </w:p>
    <w:p w14:paraId="3717D40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13.1.4 发包人和承包人应严格遵守《关于严格落实公路工程质量责任制的若干意见》的相关规定，认真执行工程质量责任登记制度并按要求填写工程质量责任登记表。</w:t>
      </w:r>
    </w:p>
    <w:p w14:paraId="64D5B5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13.1.5 本项目严格执行质量责任追究制度。质量事故处理实行“四不放过”原则： 事故原因调查不清不放过；事故责任者没有受到教育不放过；没有防范措施不放过； 相关责任人没受到处理不放过。</w:t>
      </w:r>
    </w:p>
    <w:p w14:paraId="745B713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71" w:name="_bookmark210"/>
      <w:bookmarkEnd w:id="271"/>
      <w:bookmarkStart w:id="272" w:name="_Toc139463575"/>
      <w:bookmarkStart w:id="273" w:name="_Toc120443031"/>
      <w:bookmarkStart w:id="274" w:name="_Toc139464340"/>
      <w:bookmarkStart w:id="275" w:name="_Toc13946277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13.2 承包人的质量管理</w:t>
      </w:r>
      <w:bookmarkEnd w:id="272"/>
      <w:bookmarkEnd w:id="273"/>
      <w:bookmarkEnd w:id="274"/>
      <w:bookmarkEnd w:id="275"/>
    </w:p>
    <w:p w14:paraId="0DCD4B4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76" w:name="_Toc2228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第13.2.1项补充：</w:t>
      </w:r>
      <w:bookmarkEnd w:id="276"/>
    </w:p>
    <w:p w14:paraId="3738F3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承包人提交工程质量保证措施文件的期限：签订合同协议书后 28 天之内。</w:t>
      </w:r>
    </w:p>
    <w:p w14:paraId="697A49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 13.2.3 项~第 13.2.10 项：</w:t>
      </w:r>
    </w:p>
    <w:p w14:paraId="19C9D1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13.2.3 公路工程施行质量责任终身制。承包人应当书面明确相应的项目负责人和质量负责人。承包人的相关人员按照国家法律法规和有关规定在工程合理使用年限内承担相应的质量责任。</w:t>
      </w:r>
    </w:p>
    <w:p w14:paraId="073003F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13.2.4 承包人应当建立健全工程质量保证体系，制定质量管理制度，强化工程质量管理措施，完善工程质量目标保障机制；严格遵守国家有关法律、法规和规章， 严格执行公路工程强制性技术标准、各类技术规范及规程，全面履行工程合同义务。</w:t>
      </w:r>
    </w:p>
    <w:p w14:paraId="57B3256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13.2.5 承包人对工程施工质量负责，应当按合同约定设立现场质量管理机构、配备工程技术人员和质量管理人员，落实工程施工质量责任制。</w:t>
      </w:r>
    </w:p>
    <w:p w14:paraId="506B323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14:paraId="45A1C2A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14:paraId="4EF406C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3D3BB45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13.2.9 承包人应当依法规范分包行为，并对承担的工程质量负总责，分包单位对分包合同范围内的工程质量负责。</w:t>
      </w:r>
    </w:p>
    <w:p w14:paraId="44A3B9A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13.2.10 承包人驻工程现场机构应在现场驻地和重要的分部、分项工程施工现场设置明显的工程质量责任登记表公示牌。</w:t>
      </w:r>
    </w:p>
    <w:p w14:paraId="04E5458C">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77" w:name="_bookmark211"/>
      <w:bookmarkEnd w:id="277"/>
      <w:bookmarkStart w:id="278" w:name="_Toc120443032"/>
      <w:bookmarkStart w:id="279" w:name="_Toc139462777"/>
      <w:bookmarkStart w:id="280" w:name="_Toc139463576"/>
      <w:bookmarkStart w:id="281" w:name="_Toc13946434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13.4 监理人的质量检查</w:t>
      </w:r>
      <w:bookmarkEnd w:id="278"/>
      <w:bookmarkEnd w:id="279"/>
      <w:bookmarkEnd w:id="280"/>
      <w:bookmarkEnd w:id="281"/>
    </w:p>
    <w:p w14:paraId="4AB15E3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68C58B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监理人及其委派的检验人员，应能进入工程现场，以及材料或工程设备的制造、加工或制配的车间和场所，包括不属于承包人的车间或场所进行检查，承包人应为此提供便利和协助。</w:t>
      </w:r>
    </w:p>
    <w:p w14:paraId="5E57EB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监理人可以将材料或工程设备的检查和检验委托给一家独立的有质量检验认证资格的检验单位。该独立检验单位的检验结果应视为监理人完成的。监理人应将这种委托的通知书不少于7天前交给承包人。</w:t>
      </w:r>
    </w:p>
    <w:p w14:paraId="1F1A06A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82" w:name="_bookmark212"/>
      <w:bookmarkEnd w:id="282"/>
      <w:bookmarkStart w:id="283" w:name="_Toc120443033"/>
      <w:bookmarkStart w:id="284" w:name="_Toc139463577"/>
      <w:bookmarkStart w:id="285" w:name="_Toc139464342"/>
      <w:bookmarkStart w:id="286" w:name="_Toc13946277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13.5 工程隐蔽部位覆盖前的检查</w:t>
      </w:r>
      <w:bookmarkEnd w:id="283"/>
      <w:bookmarkEnd w:id="284"/>
      <w:bookmarkEnd w:id="285"/>
      <w:bookmarkEnd w:id="286"/>
    </w:p>
    <w:p w14:paraId="3F7871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87" w:name="_Toc221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第13.5.1项补充：</w:t>
      </w:r>
      <w:bookmarkEnd w:id="287"/>
    </w:p>
    <w:p w14:paraId="6DE8606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当监理人有指令时，承包人应对重要隐蔽工程进行拍摄或照相并应保证监理人有充分的机会对将要覆盖或掩蔽的工程进行检查和量测，特别是在基础以上的任一部分工程修筑之前，对该基础进行检查。</w:t>
      </w:r>
    </w:p>
    <w:p w14:paraId="17D0DC65">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88" w:name="_bookmark213"/>
      <w:bookmarkEnd w:id="288"/>
      <w:bookmarkStart w:id="289" w:name="_Toc139462779"/>
      <w:bookmarkStart w:id="290" w:name="_Toc139464343"/>
      <w:bookmarkStart w:id="291" w:name="_Toc139463578"/>
      <w:bookmarkStart w:id="292" w:name="_Toc12044303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13.6 清除不合格工程</w:t>
      </w:r>
      <w:bookmarkEnd w:id="289"/>
      <w:bookmarkEnd w:id="290"/>
      <w:bookmarkEnd w:id="291"/>
      <w:bookmarkEnd w:id="292"/>
    </w:p>
    <w:p w14:paraId="6CE220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293" w:name="_Toc11172"/>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第13.6.1项细化为：</w:t>
      </w:r>
      <w:bookmarkEnd w:id="293"/>
    </w:p>
    <w:p w14:paraId="2DD18E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14:paraId="5F523C0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（2）如果承包人未在规定时间内执行监理人的指示，发包人有权雇用他人执行，由此增加的费用和（或）工期延误由承包人承担。</w:t>
      </w:r>
    </w:p>
    <w:p w14:paraId="22C4D6B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94" w:name="_bookmark214"/>
      <w:bookmarkEnd w:id="294"/>
      <w:bookmarkStart w:id="295" w:name="_Toc139464344"/>
      <w:bookmarkStart w:id="296" w:name="_Toc139463579"/>
      <w:bookmarkStart w:id="297" w:name="_Toc139462780"/>
      <w:bookmarkStart w:id="298" w:name="_Toc12044303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 试验和检验</w:t>
      </w:r>
      <w:bookmarkEnd w:id="295"/>
      <w:bookmarkEnd w:id="296"/>
      <w:bookmarkEnd w:id="297"/>
      <w:bookmarkEnd w:id="298"/>
    </w:p>
    <w:p w14:paraId="72B7D8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本条补充第14.4款：</w:t>
      </w:r>
    </w:p>
    <w:p w14:paraId="4F5F6F3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299" w:name="_bookmark215"/>
      <w:bookmarkEnd w:id="299"/>
      <w:bookmarkStart w:id="300" w:name="_Toc139463580"/>
      <w:bookmarkStart w:id="301" w:name="_Toc139464345"/>
      <w:bookmarkStart w:id="302" w:name="_Toc120443036"/>
      <w:bookmarkStart w:id="303" w:name="_Toc13946278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14.4 试验和检验费用</w:t>
      </w:r>
      <w:bookmarkEnd w:id="300"/>
      <w:bookmarkEnd w:id="301"/>
      <w:bookmarkEnd w:id="302"/>
      <w:bookmarkEnd w:id="303"/>
    </w:p>
    <w:p w14:paraId="61BEB55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（1）承包人应负责提供合同和技术规范规定的试验和检验所需的全部样品，并承担其费用。</w:t>
      </w:r>
    </w:p>
    <w:p w14:paraId="5479CB3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（2）在合同中明确规定的试验和检验，包括无须在工程量清单中单独列项和已在工程量清单中单独列项的试验和检验，其试验和检验的费用由承包人承担。</w:t>
      </w:r>
    </w:p>
    <w:p w14:paraId="77AB991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14:paraId="21B702D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4" w:name="_bookmark216"/>
      <w:bookmarkEnd w:id="304"/>
      <w:bookmarkStart w:id="305" w:name="_Toc139464346"/>
      <w:bookmarkStart w:id="306" w:name="_Toc139462782"/>
      <w:bookmarkStart w:id="307" w:name="_Toc120443037"/>
      <w:bookmarkStart w:id="308" w:name="_Toc13946358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 变更</w:t>
      </w:r>
      <w:bookmarkEnd w:id="305"/>
      <w:bookmarkEnd w:id="306"/>
      <w:bookmarkEnd w:id="307"/>
      <w:bookmarkEnd w:id="308"/>
    </w:p>
    <w:p w14:paraId="25C5996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09" w:name="_bookmark217"/>
      <w:bookmarkEnd w:id="309"/>
      <w:bookmarkStart w:id="310" w:name="_Toc139464347"/>
      <w:bookmarkStart w:id="311" w:name="_Toc120443038"/>
      <w:bookmarkStart w:id="312" w:name="_Toc139462783"/>
      <w:bookmarkStart w:id="313" w:name="_Toc13946358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15.1 变更的范围和内容</w:t>
      </w:r>
      <w:bookmarkEnd w:id="310"/>
      <w:bookmarkEnd w:id="311"/>
      <w:bookmarkEnd w:id="312"/>
      <w:bookmarkEnd w:id="313"/>
    </w:p>
    <w:p w14:paraId="475C216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本款第（1）项细化为：</w:t>
      </w:r>
    </w:p>
    <w:p w14:paraId="742F03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（1）取消合同中任何一项工作，但被取消的工作不能转由发包人或其他人实施，由于承包人违约造成的情况除外；</w:t>
      </w:r>
    </w:p>
    <w:p w14:paraId="23364D1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14" w:name="_bookmark218"/>
      <w:bookmarkEnd w:id="314"/>
      <w:bookmarkStart w:id="315" w:name="_Toc120443039"/>
      <w:bookmarkStart w:id="316" w:name="_Toc139463583"/>
      <w:bookmarkStart w:id="317" w:name="_Toc139464348"/>
      <w:bookmarkStart w:id="318" w:name="_Toc13946278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15.3 变更程序</w:t>
      </w:r>
      <w:bookmarkEnd w:id="315"/>
      <w:bookmarkEnd w:id="316"/>
      <w:bookmarkEnd w:id="317"/>
      <w:bookmarkEnd w:id="318"/>
    </w:p>
    <w:p w14:paraId="2416ECA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本款补充第15.3.4项：</w:t>
      </w:r>
    </w:p>
    <w:p w14:paraId="1F58C3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15.3.4 设计变更程序应执行《公路工程设计变更管理办法》的相关规定。</w:t>
      </w:r>
    </w:p>
    <w:p w14:paraId="569741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19" w:name="_bookmark219"/>
      <w:bookmarkEnd w:id="319"/>
      <w:bookmarkStart w:id="320" w:name="_Toc120443040"/>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 变更的估价原则</w:t>
      </w:r>
      <w:bookmarkEnd w:id="320"/>
    </w:p>
    <w:p w14:paraId="1A1206E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4EDFE34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除项目专用合同条款另有约定外，因变更引起的价格调整按照本款约定处理。</w:t>
      </w:r>
    </w:p>
    <w:p w14:paraId="44C7453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15.4.1 如果取消某项工作，则该项工作的总额价不予支付。</w:t>
      </w:r>
    </w:p>
    <w:p w14:paraId="15270DB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15.4.2 已标价工程量清单中有适用于变更工作的子目的，采用该子目的单价。</w:t>
      </w:r>
    </w:p>
    <w:p w14:paraId="2AA97CD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15.4.3 已标价工程量清单中无适用于变更工作的子目，但有类似子目的，可在合理范围内参照类似子目的单价，由监理人按第 3.5 款商定或确定变更工作的单价。</w:t>
      </w:r>
    </w:p>
    <w:p w14:paraId="5B1F902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15.4.4 已标价工程量清单中无适用或类似子目的单价，可在综合考虑承包人在投标时所提供的单价分析表的基础上，由监理人按第 3.5 款商定或确定变更工作的单价。</w:t>
      </w:r>
    </w:p>
    <w:p w14:paraId="70D658D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15.4.5 如果本工程的变更指示是因承包人过错、承包人违反合同或承包人责任造成的，则这种违约引起的任何额外费用应由承包人承担。</w:t>
      </w:r>
    </w:p>
    <w:p w14:paraId="104E695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21" w:name="_bookmark220"/>
      <w:bookmarkEnd w:id="321"/>
      <w:bookmarkStart w:id="322" w:name="_Toc139464349"/>
      <w:bookmarkStart w:id="323" w:name="_Toc120443041"/>
      <w:bookmarkStart w:id="324" w:name="_Toc139463584"/>
      <w:bookmarkStart w:id="325" w:name="_Toc13946278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15.5 承包人的合理化建议</w:t>
      </w:r>
      <w:bookmarkEnd w:id="322"/>
      <w:bookmarkEnd w:id="323"/>
      <w:bookmarkEnd w:id="324"/>
      <w:bookmarkEnd w:id="325"/>
    </w:p>
    <w:p w14:paraId="4A4443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26" w:name="_Toc17695"/>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第15.5.2项约定为：</w:t>
      </w:r>
      <w:bookmarkEnd w:id="326"/>
    </w:p>
    <w:p w14:paraId="0E5DA94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承包人提出的合理化建议缩短了工期，发包人按第 11.6 款的规定给予奖励。</w:t>
      </w:r>
    </w:p>
    <w:p w14:paraId="7F70340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承包人提出的合理化建议降低了合同价格或者提高了工程经济效益的，发包人按项目专用合同条款数据表中规定的金额给予奖励。</w:t>
      </w:r>
    </w:p>
    <w:p w14:paraId="6E6F30F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27" w:name="_bookmark221"/>
      <w:bookmarkEnd w:id="327"/>
      <w:bookmarkStart w:id="328" w:name="_Toc120443042"/>
      <w:bookmarkStart w:id="329" w:name="_Toc139464350"/>
      <w:bookmarkStart w:id="330" w:name="_Toc139463585"/>
      <w:bookmarkStart w:id="331" w:name="_Toc13946278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15.6 暂列金额</w:t>
      </w:r>
      <w:bookmarkEnd w:id="328"/>
      <w:bookmarkEnd w:id="329"/>
      <w:bookmarkEnd w:id="330"/>
      <w:bookmarkEnd w:id="331"/>
    </w:p>
    <w:p w14:paraId="3CCF2D9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6A07470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15.6.1 暂列金额应由监理人报发包人批准后指令全部或部分地使用，或者根本不予动用。</w:t>
      </w:r>
    </w:p>
    <w:p w14:paraId="61536A7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15.6.2 对于经发包人批准的每一笔暂列金额，监理人有权向承包人发出实施工程或提供材料、工程设备或服务的指令。这些指令应由承包人完成，监理人应根据第15.4款约定的变更估价原则和第15.7款的规定，对合同价格进行相应调整。</w:t>
      </w:r>
    </w:p>
    <w:p w14:paraId="6F96A1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15.6.3 当监理人提出要求时，承包人应提供有关暂列金额支出的所有报价单、发票、凭证和账单或收据，除非该工作是根据已标价工程量清单列明的单价或总额价进行的估价。</w:t>
      </w:r>
    </w:p>
    <w:p w14:paraId="01E6157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32" w:name="_bookmark222"/>
      <w:bookmarkEnd w:id="332"/>
      <w:bookmarkStart w:id="333" w:name="_Toc120443043"/>
      <w:bookmarkStart w:id="334" w:name="_Toc139464351"/>
      <w:bookmarkStart w:id="335" w:name="_Toc139463586"/>
      <w:bookmarkStart w:id="336" w:name="_Toc13946278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 价格调整</w:t>
      </w:r>
      <w:bookmarkEnd w:id="333"/>
      <w:bookmarkEnd w:id="334"/>
      <w:bookmarkEnd w:id="335"/>
      <w:bookmarkEnd w:id="336"/>
    </w:p>
    <w:p w14:paraId="147AA9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37" w:name="_bookmark223"/>
      <w:bookmarkEnd w:id="337"/>
      <w:bookmarkStart w:id="338" w:name="_Toc120443044"/>
      <w:bookmarkStart w:id="339" w:name="_Toc139463587"/>
      <w:bookmarkStart w:id="340" w:name="_Toc139462788"/>
      <w:bookmarkStart w:id="341" w:name="_Toc13946435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16.1 物价波动引起的价格调整</w:t>
      </w:r>
      <w:bookmarkEnd w:id="338"/>
      <w:bookmarkEnd w:id="339"/>
      <w:bookmarkEnd w:id="340"/>
      <w:bookmarkEnd w:id="341"/>
    </w:p>
    <w:p w14:paraId="12E4FBC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41ACC3A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（1）除项目专用合同条款另有约定外，因物价波动引起的价格调整应按项目专用合同条款数据表的规定，按照第 16.1.1 项或第 16.1.2 项约定的原则处理；或者</w:t>
      </w:r>
    </w:p>
    <w:p w14:paraId="675E66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（2）在合同执行期间（包括工期拖延期间）由于人工、材料和设备价格的上涨而引起工程施工成本增加的风险由承包人自行承担，合同价格不会因此而调整。</w:t>
      </w:r>
    </w:p>
    <w:p w14:paraId="616C30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16.1.1 采用价格指数调整价格差额</w:t>
      </w:r>
    </w:p>
    <w:p w14:paraId="7B88713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16.1.1.1 价格调整公式</w:t>
      </w:r>
    </w:p>
    <w:p w14:paraId="02B154B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价格调整公式后增加备注如下：</w:t>
      </w:r>
    </w:p>
    <w:p w14:paraId="118A905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式中，A=1－（B1＋B2＋B3＋……＋Bn）。</w:t>
      </w:r>
    </w:p>
    <w:p w14:paraId="499EE8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本目最后一段文字细化为：</w:t>
      </w:r>
    </w:p>
    <w:p w14:paraId="153FC36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在采用价格调整公式进行调价时，还应遵守以下规定：</w:t>
      </w:r>
    </w:p>
    <w:p w14:paraId="336F4B5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以上价格调整公式中的各可调因子、定值权重，以及基本价格指数及其来源由发包人在投标函附录价格指数和权重表中约定。价格指数应首先采用国家或省、自治区、直辖市价格部门或统计部门提供的价格指数，缺乏上述价格指数时，可采用上述部门提供的价格代替。</w:t>
      </w:r>
    </w:p>
    <w:p w14:paraId="2F98A19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价格调整公式中的变值权重，由发包人根据项目实际情况测算确定范围，并在投标函附录价格指数和权重表中约定范围；承包人在投标时在此范围内填写各可调因子的权重，合同实施期间将按此权重进行调价。</w:t>
      </w:r>
    </w:p>
    <w:p w14:paraId="4F00011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42" w:name="_bookmark224"/>
      <w:bookmarkEnd w:id="342"/>
      <w:bookmarkStart w:id="343" w:name="_Toc139463588"/>
      <w:bookmarkStart w:id="344" w:name="_Toc120443045"/>
      <w:bookmarkStart w:id="345" w:name="_Toc139462789"/>
      <w:bookmarkStart w:id="346" w:name="_Toc13946435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 计量与支付</w:t>
      </w:r>
      <w:bookmarkEnd w:id="343"/>
      <w:bookmarkEnd w:id="344"/>
      <w:bookmarkEnd w:id="345"/>
      <w:bookmarkEnd w:id="346"/>
    </w:p>
    <w:p w14:paraId="5CB3557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47" w:name="_bookmark225"/>
      <w:bookmarkEnd w:id="347"/>
      <w:bookmarkStart w:id="348" w:name="_Toc139464354"/>
      <w:bookmarkStart w:id="349" w:name="_Toc139462790"/>
      <w:bookmarkStart w:id="350" w:name="_Toc139463589"/>
      <w:bookmarkStart w:id="351" w:name="_Toc12044304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17.1 计量</w:t>
      </w:r>
      <w:bookmarkEnd w:id="348"/>
      <w:bookmarkEnd w:id="349"/>
      <w:bookmarkEnd w:id="350"/>
      <w:bookmarkEnd w:id="351"/>
    </w:p>
    <w:p w14:paraId="10B854B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17.1.2 计量方法</w:t>
      </w:r>
    </w:p>
    <w:p w14:paraId="2E6CF18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11FB6EC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工程的计量应以净值为准，除非项目专用合同条款另有约定。工程量清单中各个子目的具体计量方法按本合同文件工程量清单计量规则中的规定执行。</w:t>
      </w:r>
    </w:p>
    <w:p w14:paraId="731B7B9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17.1.4 单价子目的计量</w:t>
      </w:r>
    </w:p>
    <w:p w14:paraId="26E84FD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485DBE5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（7）承包人未在已标价工程量清单中填入单价或总额价的工程子目，将被认为其已包含在本合同的其他子目的单价和总额价中，发包人将不另行支付。</w:t>
      </w:r>
    </w:p>
    <w:p w14:paraId="707C696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17.1.5 总价子目的计量</w:t>
      </w:r>
    </w:p>
    <w:p w14:paraId="09CC14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1D65E81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本项目工程量清单中要求承包人以“总额”方式报价的子目，各子目的支付原则和支付进度按项目专用合同条款的规定执行。</w:t>
      </w:r>
    </w:p>
    <w:p w14:paraId="1C05652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2" w:name="_bookmark226"/>
      <w:bookmarkEnd w:id="352"/>
      <w:bookmarkStart w:id="353" w:name="_Toc139464355"/>
      <w:bookmarkStart w:id="354" w:name="_Toc139463590"/>
      <w:bookmarkStart w:id="355" w:name="_Toc120443047"/>
      <w:bookmarkStart w:id="356" w:name="_Toc13946279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17.2 预付款</w:t>
      </w:r>
      <w:bookmarkEnd w:id="353"/>
      <w:bookmarkEnd w:id="354"/>
      <w:bookmarkEnd w:id="355"/>
      <w:bookmarkEnd w:id="356"/>
    </w:p>
    <w:p w14:paraId="27BA2D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17.2.1 预付款</w:t>
      </w:r>
    </w:p>
    <w:p w14:paraId="3C42D5B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 xml:space="preserve">本项约定为： </w:t>
      </w:r>
    </w:p>
    <w:p w14:paraId="62DADF1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预付款包括开工预付款和材料、设备预付款。具体额度和预付办法如下：</w:t>
      </w:r>
    </w:p>
    <w:p w14:paraId="526037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（1）开工预付款的金额在项目专用合同条款数据表中约定。在承包人签订了合同协议书且承包人承诺的主要设备进场后，监理人应在当期进度付款证书中向承包人支付开工预付款。</w:t>
      </w:r>
    </w:p>
    <w:p w14:paraId="2CB88CF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承包人不得将该预付款用于与本工程无关的支出，监理人有权监督承包人对该项费用的使用，如经查实承包人滥用开工预付款，发包人有权立即向银行索赔履约保证金，并解除合同。</w:t>
      </w:r>
    </w:p>
    <w:p w14:paraId="6915AF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（2）材料、设备预付款按项目专用合同条款数据表中所列主要材料、设备单据费用（进口的材料、设备为到岸价，国内采购的为出厂价或销售价，地方材料为堆场价）的百分比支付。其预付条件为：</w:t>
      </w:r>
    </w:p>
    <w:p w14:paraId="5819DA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a.材料、设备符合规范要求并经监理人认可；</w:t>
      </w:r>
    </w:p>
    <w:p w14:paraId="0E6A74D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b.承包人已出具材料、设备费用凭证或支付单据；</w:t>
      </w:r>
    </w:p>
    <w:p w14:paraId="46E8428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c.材料、设备已在现场交货，且存储良好，监理人认为材料、设备的存储方法符合要求。则监理人应将此项金额作为材料、设备预付款计入下一次的进度付款证书中。在预计交工前 3 个月，将不再支付材料、设备预付款。</w:t>
      </w:r>
    </w:p>
    <w:p w14:paraId="7E58A1A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17.2.2 预付款保函</w:t>
      </w:r>
    </w:p>
    <w:p w14:paraId="79B0A03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5101BD5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承包人无须向发包人提交预付款保函。发包人向承包人支付的预付款，应按照本合同第17.2.1项规定使用，承包人提交的履约保证金对预付款的正常使用承担保证责任。</w:t>
      </w:r>
    </w:p>
    <w:p w14:paraId="4902999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17.2.3 预付款的扣回与还清</w:t>
      </w:r>
    </w:p>
    <w:p w14:paraId="317E576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2EF3119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（1）开工预付款在进度付款证书的累计金额未达到签约合同价的 30%之前不予扣回，在达到签约合同价 30%之后，开始按工程进度以固定比例（即每完成签约合同价的 1%，扣回开工预付款的 2%）分期从各月的进度付款证书中扣回，全部金额在进度付款证书的累计金额达到签约合同价的 80%时扣完。</w:t>
      </w:r>
    </w:p>
    <w:p w14:paraId="1E48BD2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（2）当材料、设备已用于或安装在永久工程之中时，材料、设备预付款应从进度付款证书中扣回，扣回期不超过 3 个月。已经支付材料、设备预付款的材料、设备的所有权应属于发包人。</w:t>
      </w:r>
    </w:p>
    <w:p w14:paraId="6FCA67AB">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57" w:name="_bookmark227"/>
      <w:bookmarkEnd w:id="357"/>
      <w:bookmarkStart w:id="358" w:name="_Toc139462792"/>
      <w:bookmarkStart w:id="359" w:name="_Toc120443048"/>
      <w:bookmarkStart w:id="360" w:name="_Toc139463591"/>
      <w:bookmarkStart w:id="361" w:name="_Toc13946435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17.3 工程进度付款</w:t>
      </w:r>
      <w:bookmarkEnd w:id="358"/>
      <w:bookmarkEnd w:id="359"/>
      <w:bookmarkEnd w:id="360"/>
      <w:bookmarkEnd w:id="361"/>
    </w:p>
    <w:p w14:paraId="325CBD0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17.3.3 进度付款证书和支付时间</w:t>
      </w:r>
    </w:p>
    <w:p w14:paraId="447DDE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本项（1）目补充：</w:t>
      </w:r>
    </w:p>
    <w:p w14:paraId="17E28F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1CB8A3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15FCE8C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发包人应在监理人收到进度付款申请单且承包人提交了合格的增值税专用发票后的28天内，将进度应付款支付给承包人。</w:t>
      </w:r>
    </w:p>
    <w:p w14:paraId="033441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发包人不按期支付的，按项目专用合同条款数据表中约定的利率向承包人支付逾期付款违约金。违约金计算基数为发包人的全部未付款额，时间从应付而未付该款额之日算起（不计复利）。</w:t>
      </w:r>
    </w:p>
    <w:p w14:paraId="3B16490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本款补充第17.3.5项：</w:t>
      </w:r>
    </w:p>
    <w:p w14:paraId="3B514EE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17.3.5 农民工工资保证金</w:t>
      </w:r>
    </w:p>
    <w:p w14:paraId="0A2AF65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（1）为确保施工过程中农民工工资实时、足额发放到位，承包人应按照项目专用合同条款约定的时间和金额缴存农民工工资保证金。</w:t>
      </w:r>
    </w:p>
    <w:p w14:paraId="3146181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（2）农民工工资保证金可采用银行保函或现金、支票形式。采用银行保函时， 出具保函的银行须具有相应担保能力，且按照发包人批准的格式出具，所需费用由承包人承担。</w:t>
      </w:r>
    </w:p>
    <w:p w14:paraId="38298F0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（3）农民工工资保证金的扣留条件、返还时间按照项目专用合同条款的约定执行。</w:t>
      </w:r>
    </w:p>
    <w:p w14:paraId="51249A9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62" w:name="_bookmark228"/>
      <w:bookmarkEnd w:id="362"/>
      <w:bookmarkStart w:id="363" w:name="_Toc139462793"/>
      <w:bookmarkStart w:id="364" w:name="_Toc139463592"/>
      <w:bookmarkStart w:id="365" w:name="_Toc120443049"/>
      <w:bookmarkStart w:id="366" w:name="_Toc13946435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17.4 质量保证金</w:t>
      </w:r>
      <w:bookmarkEnd w:id="363"/>
      <w:bookmarkEnd w:id="364"/>
      <w:bookmarkEnd w:id="365"/>
      <w:bookmarkEnd w:id="366"/>
    </w:p>
    <w:p w14:paraId="14C93F9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67" w:name="_Toc1337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第17.4.1项、第17.4.2项细化为：</w:t>
      </w:r>
      <w:bookmarkEnd w:id="367"/>
    </w:p>
    <w:p w14:paraId="6184F4A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17.4.1 交工验收证书签发后14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14:paraId="569265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 xml:space="preserve">质量保证金采用现金、支票形式提交的，发包人应在项目专用合同条款数据表中明确是否计付利息以及利息的计算方式。 </w:t>
      </w:r>
    </w:p>
    <w:p w14:paraId="7DF96AA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17.4.2 在第1.1.4.5目约定的缺陷责任期满，且质量监督机构已按规定对工程质量检测鉴定合格，承包人向发包人申请到期应返还承包人剩余的质量保证金金额，发包人应在14天内会同承包人按照合同约定的内容核实承包人是否完成缺陷责任。如无异议，发包人应当在核实后将剩余保证金返还承包人。</w:t>
      </w:r>
    </w:p>
    <w:p w14:paraId="58F6A34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68" w:name="_bookmark229"/>
      <w:bookmarkEnd w:id="368"/>
      <w:bookmarkStart w:id="369" w:name="_Toc139464358"/>
      <w:bookmarkStart w:id="370" w:name="_Toc139463593"/>
      <w:bookmarkStart w:id="371" w:name="_Toc139462794"/>
      <w:bookmarkStart w:id="372" w:name="_Toc12044305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17.5 交工结算</w:t>
      </w:r>
      <w:bookmarkEnd w:id="369"/>
      <w:bookmarkEnd w:id="370"/>
      <w:bookmarkEnd w:id="371"/>
      <w:bookmarkEnd w:id="372"/>
    </w:p>
    <w:p w14:paraId="6647CED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17.5.1 交工付款申请单</w:t>
      </w:r>
    </w:p>
    <w:p w14:paraId="1A8ED63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本项（1）目约定为：</w:t>
      </w:r>
    </w:p>
    <w:p w14:paraId="1E81152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承包人向监理人提交交工付款申请单（包括相关证明材料）的份数在项目专用合同条款数据表中约定；期限：交工验收证书签发后42天内。</w:t>
      </w:r>
    </w:p>
    <w:p w14:paraId="65B5BB7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17.5.2 交工付款证书及支付时间</w:t>
      </w:r>
    </w:p>
    <w:p w14:paraId="03A8360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1EFEEC60">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发包人应在监理人出具交工付款证书且承包人提交了合格的增值税专用发票后的14天内，将应支付款支付给承包人。发包人不按期支付的，按第17.3.3（2）目的约定，将逾期付款违约金支付给承包人。</w:t>
      </w:r>
    </w:p>
    <w:p w14:paraId="461CD58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73" w:name="_bookmark230"/>
      <w:bookmarkEnd w:id="373"/>
      <w:bookmarkStart w:id="374" w:name="_Toc120443051"/>
      <w:bookmarkStart w:id="375" w:name="_Toc139463594"/>
      <w:bookmarkStart w:id="376" w:name="_Toc139462795"/>
      <w:bookmarkStart w:id="377" w:name="_Toc13946435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17.6 最终结清</w:t>
      </w:r>
      <w:bookmarkEnd w:id="374"/>
      <w:bookmarkEnd w:id="375"/>
      <w:bookmarkEnd w:id="376"/>
      <w:bookmarkEnd w:id="377"/>
    </w:p>
    <w:p w14:paraId="244A1FE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17.6.1 最终结清申请单</w:t>
      </w:r>
    </w:p>
    <w:p w14:paraId="22733E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本项（1）目约定为：</w:t>
      </w:r>
    </w:p>
    <w:p w14:paraId="0FB4ABC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承包人向监理人提交最终结清申请单（包括相关证明材料）的份数在项目专用合同条款数据表中约定；期限：缺陷责任期终止证书签发后 28 天内。</w:t>
      </w:r>
    </w:p>
    <w:p w14:paraId="28CF5A3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最终结清申请单中的总金额应认为是代表了根据合同规定应付给承包人的全部款项的最后结算。</w:t>
      </w:r>
    </w:p>
    <w:p w14:paraId="5ECF56F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17.6.2 最终结清证书和支付时间</w:t>
      </w:r>
    </w:p>
    <w:p w14:paraId="43D1C2D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0C7BB5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（2）发包人应在监理人出具最终结清证书且承包人提交了合格的增值税专用发票后的 14 天内，将应支付款支付给承包人。发包人不按期支付的，按第 17.3.3（2）目的约定，将逾期付款违约金支付给承包人。</w:t>
      </w:r>
    </w:p>
    <w:p w14:paraId="4AF53FF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78" w:name="_bookmark231"/>
      <w:bookmarkEnd w:id="378"/>
      <w:bookmarkStart w:id="379" w:name="_Toc139463595"/>
      <w:bookmarkStart w:id="380" w:name="_Toc120443052"/>
      <w:bookmarkStart w:id="381" w:name="_Toc139462796"/>
      <w:bookmarkStart w:id="382" w:name="_Toc139464360"/>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18.交工验收</w:t>
      </w:r>
      <w:bookmarkEnd w:id="379"/>
      <w:bookmarkEnd w:id="380"/>
      <w:bookmarkEnd w:id="381"/>
      <w:bookmarkEnd w:id="382"/>
    </w:p>
    <w:p w14:paraId="73D801F0">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83" w:name="_bookmark232"/>
      <w:bookmarkEnd w:id="383"/>
      <w:bookmarkStart w:id="384" w:name="_Toc139462797"/>
      <w:bookmarkStart w:id="385" w:name="_Toc139463596"/>
      <w:bookmarkStart w:id="386" w:name="_Toc120443053"/>
      <w:bookmarkStart w:id="387" w:name="_Toc1394643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18.2 交工验收申请报告</w:t>
      </w:r>
      <w:bookmarkEnd w:id="384"/>
      <w:bookmarkEnd w:id="385"/>
      <w:bookmarkEnd w:id="386"/>
      <w:bookmarkEnd w:id="387"/>
    </w:p>
    <w:p w14:paraId="68D3C0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本款第（2）项约定为：</w:t>
      </w:r>
    </w:p>
    <w:p w14:paraId="0D094E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竣工资料的内容：承包人应按照《公路工程竣（交）工验收办法》和相关规定编制竣工资料。</w:t>
      </w:r>
    </w:p>
    <w:p w14:paraId="4A89DC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竣工资料的份数在项目专用合同条款数据表中约定。</w:t>
      </w:r>
    </w:p>
    <w:p w14:paraId="2FFD96B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88" w:name="_bookmark233"/>
      <w:bookmarkEnd w:id="388"/>
      <w:bookmarkStart w:id="389" w:name="_Toc139464362"/>
      <w:bookmarkStart w:id="390" w:name="_Toc120443054"/>
      <w:bookmarkStart w:id="391" w:name="_Toc139462798"/>
      <w:bookmarkStart w:id="392" w:name="_Toc13946359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18.3 验收</w:t>
      </w:r>
      <w:bookmarkEnd w:id="389"/>
      <w:bookmarkEnd w:id="390"/>
      <w:bookmarkEnd w:id="391"/>
      <w:bookmarkEnd w:id="392"/>
    </w:p>
    <w:p w14:paraId="0F1EC84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93" w:name="_Toc11084"/>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第18.3.2项补充：</w:t>
      </w:r>
      <w:bookmarkEnd w:id="393"/>
    </w:p>
    <w:p w14:paraId="0E01D2D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14:paraId="46C4DD3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394" w:name="_Toc21316"/>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第18.3.5项约定为：</w:t>
      </w:r>
      <w:bookmarkEnd w:id="394"/>
    </w:p>
    <w:p w14:paraId="4FA030C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经验收合格工程的实际交工日期，以最终提交交工验收申请报告的日期为准， 并在交工验收证书中写明。</w:t>
      </w:r>
    </w:p>
    <w:p w14:paraId="3FD2344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本款补充第18.3.7项：</w:t>
      </w:r>
    </w:p>
    <w:p w14:paraId="2A5DDA9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组织办理交工验收和签发交工验收证书的费用由发包人承担。但按照第 18.3.4项规定达不到合格标准的交工验收费用由承包人承担。</w:t>
      </w:r>
    </w:p>
    <w:p w14:paraId="198073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本条补充第18.9款：</w:t>
      </w:r>
    </w:p>
    <w:p w14:paraId="636CBE6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395" w:name="_bookmark234"/>
      <w:bookmarkEnd w:id="395"/>
      <w:bookmarkStart w:id="396" w:name="_Toc120443055"/>
      <w:bookmarkStart w:id="397" w:name="_Toc139463598"/>
      <w:bookmarkStart w:id="398" w:name="_Toc139462799"/>
      <w:bookmarkStart w:id="399" w:name="_Toc13946436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18.9 竣工文件</w:t>
      </w:r>
      <w:bookmarkEnd w:id="396"/>
      <w:bookmarkEnd w:id="397"/>
      <w:bookmarkEnd w:id="398"/>
      <w:bookmarkEnd w:id="399"/>
    </w:p>
    <w:p w14:paraId="2B8F43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承包人应按照《公路工程竣（交）工验收办法》的相关规定，在缺陷责任期内为竣工验收补充竣工资料，并在签发缺陷责任期终止证书之前提交。</w:t>
      </w:r>
    </w:p>
    <w:p w14:paraId="2371536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00" w:name="_bookmark235"/>
      <w:bookmarkEnd w:id="400"/>
      <w:bookmarkStart w:id="401" w:name="_Toc120443056"/>
      <w:bookmarkStart w:id="402" w:name="_Toc139462800"/>
      <w:bookmarkStart w:id="403" w:name="_Toc139464364"/>
      <w:bookmarkStart w:id="404" w:name="_Toc13946359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19.缺陷责任与保修责任</w:t>
      </w:r>
      <w:bookmarkEnd w:id="401"/>
      <w:bookmarkEnd w:id="402"/>
      <w:bookmarkEnd w:id="403"/>
      <w:bookmarkEnd w:id="404"/>
    </w:p>
    <w:p w14:paraId="668CB20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05" w:name="_bookmark236"/>
      <w:bookmarkEnd w:id="405"/>
      <w:bookmarkStart w:id="406" w:name="_Toc139463600"/>
      <w:bookmarkStart w:id="407" w:name="_Toc120443057"/>
      <w:bookmarkStart w:id="408" w:name="_Toc139462801"/>
      <w:bookmarkStart w:id="409" w:name="_Toc13946436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19.2 缺陷责任</w:t>
      </w:r>
      <w:bookmarkEnd w:id="406"/>
      <w:bookmarkEnd w:id="407"/>
      <w:bookmarkEnd w:id="408"/>
      <w:bookmarkEnd w:id="409"/>
    </w:p>
    <w:p w14:paraId="17EBF1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10" w:name="_Toc25807"/>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第19.2.2项补充：</w:t>
      </w:r>
      <w:bookmarkEnd w:id="410"/>
    </w:p>
    <w:p w14:paraId="7D38AA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在缺陷责任期内，承包人应尽快完成在交工验收证书中写明的未完成工作，并完成对本工程缺陷的修复或监理人指令的修补工作。</w:t>
      </w:r>
    </w:p>
    <w:p w14:paraId="1F5A8D0E">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11" w:name="_bookmark237"/>
      <w:bookmarkEnd w:id="411"/>
      <w:bookmarkStart w:id="412" w:name="_Toc120443058"/>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19.5 承包人的进入权</w:t>
      </w:r>
      <w:bookmarkEnd w:id="412"/>
    </w:p>
    <w:p w14:paraId="2A6EDB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本款补充：</w:t>
      </w:r>
    </w:p>
    <w:p w14:paraId="36F1473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承包人在缺陷修复施工过程中，应服从管养单位的有关安全管理规定，由于承包人自身原因造成的人员伤亡、设备和材料的损毁及罚款等责任由承包人自负。</w:t>
      </w:r>
    </w:p>
    <w:p w14:paraId="0E804964">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bookmarkStart w:id="413" w:name="_bookmark238"/>
      <w:bookmarkEnd w:id="413"/>
      <w:bookmarkStart w:id="414" w:name="_Toc120443059"/>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19.7 保修责任</w:t>
      </w:r>
      <w:bookmarkEnd w:id="414"/>
    </w:p>
    <w:p w14:paraId="2B3B9A1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本款细化为：</w:t>
      </w:r>
    </w:p>
    <w:p w14:paraId="3710695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保修期自实际交工日期起计算，具体期限在项目专用合同条款数据表中约定。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14:paraId="4682069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（2）在全部工程交工验收前，已经发包人提前验收的单位工程，其保修期的起算日期相应提前。</w:t>
      </w:r>
    </w:p>
    <w:p w14:paraId="503F82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（3）工程保修期终止后 28 天内，监理人签发保修期终止证书。</w:t>
      </w:r>
    </w:p>
    <w:p w14:paraId="7973F9E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（4）若承包人不履行保修义务和责任，则承包人应承担由于违约造成的法律后果，并由发包人将其违约行为上报省级交通运输主管部门，作为不良记录纳入公路建设市场信用信息管理系统。</w:t>
      </w:r>
    </w:p>
    <w:p w14:paraId="67AF98D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15" w:name="_bookmark239"/>
      <w:bookmarkEnd w:id="415"/>
      <w:bookmarkStart w:id="416" w:name="_Toc120443060"/>
      <w:bookmarkStart w:id="417" w:name="_Toc139462802"/>
      <w:bookmarkStart w:id="418" w:name="_Toc139464366"/>
      <w:bookmarkStart w:id="419" w:name="_Toc13946360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 保险</w:t>
      </w:r>
      <w:bookmarkEnd w:id="416"/>
      <w:bookmarkEnd w:id="417"/>
      <w:bookmarkEnd w:id="418"/>
      <w:bookmarkEnd w:id="419"/>
    </w:p>
    <w:p w14:paraId="4F9A115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0" w:name="_bookmark240"/>
      <w:bookmarkEnd w:id="420"/>
      <w:bookmarkStart w:id="421" w:name="_Toc139462803"/>
      <w:bookmarkStart w:id="422" w:name="_Toc139463602"/>
      <w:bookmarkStart w:id="423" w:name="_Toc139464367"/>
      <w:bookmarkStart w:id="424" w:name="_Toc12044306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20.1 工程保险</w:t>
      </w:r>
      <w:bookmarkEnd w:id="421"/>
      <w:bookmarkEnd w:id="422"/>
      <w:bookmarkEnd w:id="423"/>
      <w:bookmarkEnd w:id="424"/>
    </w:p>
    <w:p w14:paraId="6A50E5A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1F86F7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建筑工程一切险的投保内容：为本合同工程的永久工程、临时工程和设备及已运至施工工地用于永久工程的材料和设备所投的保险。</w:t>
      </w:r>
    </w:p>
    <w:p w14:paraId="77E5A54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保险金额：工程量清单第100章（不含建筑工程一切险及第三者责任险的保险费）至第700章的合计金额。</w:t>
      </w:r>
    </w:p>
    <w:p w14:paraId="75183DE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保险费率：在项目专用合同条款数据表中约定。</w:t>
      </w:r>
    </w:p>
    <w:p w14:paraId="67C89A94">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保险期限：开工日起直至本合同工程签发缺陷责任期终止证书止（即合同工期+缺陷责任期）。</w:t>
      </w:r>
    </w:p>
    <w:p w14:paraId="2FE01BE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承包人应以发包人和承包人的共同名义投保建筑工程一切险。建筑工程一切险的保险费由承包人报价时列入工程量清单第100章内。发包人在接到保险单后，将按照保险单的费用直接向承包人支付。</w:t>
      </w:r>
    </w:p>
    <w:p w14:paraId="1B73656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25" w:name="_bookmark241"/>
      <w:bookmarkEnd w:id="425"/>
      <w:bookmarkStart w:id="426" w:name="_Toc120443062"/>
      <w:bookmarkStart w:id="427" w:name="_Toc139462804"/>
      <w:bookmarkStart w:id="428" w:name="_Toc139463603"/>
      <w:bookmarkStart w:id="429" w:name="_Toc13946436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20.4 第三者责任险</w:t>
      </w:r>
      <w:bookmarkEnd w:id="426"/>
      <w:bookmarkEnd w:id="427"/>
      <w:bookmarkEnd w:id="428"/>
      <w:bookmarkEnd w:id="429"/>
    </w:p>
    <w:p w14:paraId="79E3F43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30" w:name="_Toc16838"/>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第20.4.2项补充：</w:t>
      </w:r>
      <w:bookmarkEnd w:id="430"/>
    </w:p>
    <w:p w14:paraId="54CBDA0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第三者责任险的保险费由承包人报价时列入工程量清单第 100 章内。发包人在接到保险单后，将按照保险单的费用直接向承包人支付。</w:t>
      </w:r>
    </w:p>
    <w:p w14:paraId="2D0DD9B8">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31" w:name="_bookmark242"/>
      <w:bookmarkEnd w:id="431"/>
      <w:bookmarkStart w:id="432" w:name="_Toc139462805"/>
      <w:bookmarkStart w:id="433" w:name="_Toc139463604"/>
      <w:bookmarkStart w:id="434" w:name="_Toc139464369"/>
      <w:bookmarkStart w:id="435" w:name="_Toc12044306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20.5 其他保险</w:t>
      </w:r>
      <w:bookmarkEnd w:id="432"/>
      <w:bookmarkEnd w:id="433"/>
      <w:bookmarkEnd w:id="434"/>
      <w:bookmarkEnd w:id="435"/>
    </w:p>
    <w:p w14:paraId="6C5495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本款约定为：</w:t>
      </w:r>
    </w:p>
    <w:p w14:paraId="77A6BEB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承包人应为其施工设备等办理保险，其投保金额应足以现场重置。办理本款保险的一切费用均由承包人承担，并包括在工程量清单的单价及总额价中，发包人不单独支付。</w:t>
      </w:r>
    </w:p>
    <w:p w14:paraId="0C95D8B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36" w:name="_bookmark243"/>
      <w:bookmarkEnd w:id="436"/>
      <w:bookmarkStart w:id="437" w:name="_Toc139464370"/>
      <w:bookmarkStart w:id="438" w:name="_Toc139463605"/>
      <w:bookmarkStart w:id="439" w:name="_Toc139462806"/>
      <w:bookmarkStart w:id="440" w:name="_Toc120443064"/>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20.6 对各项保险的一般要求</w:t>
      </w:r>
      <w:bookmarkEnd w:id="437"/>
      <w:bookmarkEnd w:id="438"/>
      <w:bookmarkEnd w:id="439"/>
      <w:bookmarkEnd w:id="440"/>
    </w:p>
    <w:p w14:paraId="41AFE1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20.6.1 保险凭证</w:t>
      </w:r>
    </w:p>
    <w:p w14:paraId="33C026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本项约定为：</w:t>
      </w:r>
    </w:p>
    <w:p w14:paraId="7E0E2E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承包人向发包人提交各项保险生效的证据和保险单副本的期限：开工后 56 天内。</w:t>
      </w:r>
    </w:p>
    <w:p w14:paraId="69599A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20.6.3 持续保险</w:t>
      </w:r>
    </w:p>
    <w:p w14:paraId="79A1FEF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17D4693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在整个合同期内，承包人应按合同条款规定保证足够的保险额。</w:t>
      </w:r>
    </w:p>
    <w:p w14:paraId="6B3C888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20.6.4 保险金不足的补偿</w:t>
      </w:r>
    </w:p>
    <w:p w14:paraId="1F6E67D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7977616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保险金不足以补偿损失的（包括免赔额和超过赔偿限额的部分），应由承包人和（或）发包人按合同约定负责补偿。</w:t>
      </w:r>
    </w:p>
    <w:p w14:paraId="0FC75E0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20.6.5 未按约定投保的补救</w:t>
      </w:r>
    </w:p>
    <w:p w14:paraId="23056BB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79B360E5">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4262A59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41" w:name="_bookmark244"/>
      <w:bookmarkEnd w:id="441"/>
      <w:bookmarkStart w:id="442" w:name="_Toc139464371"/>
      <w:bookmarkStart w:id="443" w:name="_Toc120443065"/>
      <w:bookmarkStart w:id="444" w:name="_Toc139462807"/>
      <w:bookmarkStart w:id="445" w:name="_Toc13946360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21.不可抗力</w:t>
      </w:r>
      <w:bookmarkEnd w:id="442"/>
      <w:bookmarkEnd w:id="443"/>
      <w:bookmarkEnd w:id="444"/>
      <w:bookmarkEnd w:id="445"/>
    </w:p>
    <w:p w14:paraId="6057D936">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46" w:name="_bookmark245"/>
      <w:bookmarkEnd w:id="446"/>
      <w:bookmarkStart w:id="447" w:name="_Toc139462808"/>
      <w:bookmarkStart w:id="448" w:name="_Toc139463607"/>
      <w:bookmarkStart w:id="449" w:name="_Toc139464372"/>
      <w:bookmarkStart w:id="450" w:name="_Toc12044306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21.1 不可抗力的确认</w:t>
      </w:r>
      <w:bookmarkEnd w:id="447"/>
      <w:bookmarkEnd w:id="448"/>
      <w:bookmarkEnd w:id="449"/>
      <w:bookmarkEnd w:id="450"/>
    </w:p>
    <w:p w14:paraId="49A3496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51" w:name="_Toc11339"/>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21.1.1 项细化为：</w:t>
      </w:r>
      <w:bookmarkEnd w:id="451"/>
    </w:p>
    <w:p w14:paraId="691BC6C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不可抗力是指承包人和发包人在订立合同时不可预见，在工程施工过程中不可避免发生并不能克服的自然灾害和社会性突发事件。包括但不限于：</w:t>
      </w:r>
    </w:p>
    <w:p w14:paraId="6BCB6AA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（1）地震、海啸、火山爆发、泥石流、暴雨（雪）、台风、龙卷风、水灾等自然灾害；</w:t>
      </w:r>
    </w:p>
    <w:p w14:paraId="78921F8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（2）战争、骚乱、暴动，但纯属承包人或其分包人派遣与雇用的人员由于本合同工程施工原因引起者除外；</w:t>
      </w:r>
    </w:p>
    <w:p w14:paraId="7E3194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（3）核反应、辐射或放射性污染；</w:t>
      </w:r>
    </w:p>
    <w:p w14:paraId="5CA0644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（4）空中飞行物体坠落或非发包人或承包人责任造成的爆炸、火灾；</w:t>
      </w:r>
    </w:p>
    <w:p w14:paraId="20BAE15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（5）瘟疫；</w:t>
      </w:r>
    </w:p>
    <w:p w14:paraId="229B42B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（6）项目专用合同条款约定的其他情形。</w:t>
      </w:r>
    </w:p>
    <w:p w14:paraId="3C97B24A">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52" w:name="_bookmark246"/>
      <w:bookmarkEnd w:id="452"/>
      <w:bookmarkStart w:id="453" w:name="_Toc120443067"/>
      <w:bookmarkStart w:id="454" w:name="_Toc139464373"/>
      <w:bookmarkStart w:id="455" w:name="_Toc139462809"/>
      <w:bookmarkStart w:id="456" w:name="_Toc13946360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21.3 不可抗力后果及其处理</w:t>
      </w:r>
      <w:bookmarkEnd w:id="453"/>
      <w:bookmarkEnd w:id="454"/>
      <w:bookmarkEnd w:id="455"/>
      <w:bookmarkEnd w:id="456"/>
    </w:p>
    <w:p w14:paraId="427699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21.3.4 因不可抗力解除合同</w:t>
      </w:r>
    </w:p>
    <w:p w14:paraId="3211CA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2262266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 参照第 22.2.4 项约定，由监理人按第 3.5 款商定或确定，但由于解除合同应赔偿的承包人损失不予考虑。</w:t>
      </w:r>
    </w:p>
    <w:p w14:paraId="7838DAAE">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57" w:name="_bookmark247"/>
      <w:bookmarkEnd w:id="457"/>
      <w:bookmarkStart w:id="458" w:name="_Toc139463609"/>
      <w:bookmarkStart w:id="459" w:name="_Toc139464374"/>
      <w:bookmarkStart w:id="460" w:name="_Toc139462810"/>
      <w:bookmarkStart w:id="461" w:name="_Toc120443068"/>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22.违约</w:t>
      </w:r>
      <w:bookmarkEnd w:id="458"/>
      <w:bookmarkEnd w:id="459"/>
      <w:bookmarkEnd w:id="460"/>
      <w:bookmarkEnd w:id="461"/>
    </w:p>
    <w:p w14:paraId="23183AE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2" w:name="_bookmark248"/>
      <w:bookmarkEnd w:id="462"/>
      <w:bookmarkStart w:id="463" w:name="_Toc139464375"/>
      <w:bookmarkStart w:id="464" w:name="_Toc139463610"/>
      <w:bookmarkStart w:id="465" w:name="_Toc139462811"/>
      <w:bookmarkStart w:id="466" w:name="_Toc120443069"/>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22.1 承包人违约</w:t>
      </w:r>
      <w:bookmarkEnd w:id="463"/>
      <w:bookmarkEnd w:id="464"/>
      <w:bookmarkEnd w:id="465"/>
      <w:bookmarkEnd w:id="466"/>
    </w:p>
    <w:p w14:paraId="3E4C157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22.1.1 承包人违约的情形</w:t>
      </w:r>
    </w:p>
    <w:p w14:paraId="261B091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4E6A55F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（2）承包人违反第5.3款或第6.4款的约定，未经监理人批准，私自将已按合同约定进入施工场地的施工设备、临时设施、材料或工程设备撤离施工场地；</w:t>
      </w:r>
    </w:p>
    <w:p w14:paraId="06B5012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本项（7）目细化为：</w:t>
      </w:r>
    </w:p>
    <w:p w14:paraId="153B2D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（7）承包人未能按期开工；</w:t>
      </w:r>
    </w:p>
    <w:p w14:paraId="57B703AB">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（8）承包人违反第 4.6 款或第 6.3 款的规定，未按承诺或未按监理人的要求及时配备称职的主要管理人员、技术骨干或关键施工设备；</w:t>
      </w:r>
    </w:p>
    <w:p w14:paraId="6D0AE19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（9）经监理人和发包人检查，发现承包人有安全问题或有违反安全管理规章制度的情况；</w:t>
      </w:r>
    </w:p>
    <w:p w14:paraId="63AD497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（10）承包人不按合同约定履行义务的其他情况。</w:t>
      </w:r>
    </w:p>
    <w:p w14:paraId="53D93F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22.1.2 对承包人违约的处理</w:t>
      </w:r>
    </w:p>
    <w:p w14:paraId="2B6FDB5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本项补充：</w:t>
      </w:r>
    </w:p>
    <w:p w14:paraId="78575FC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（4）承包人发生第 22.1.1 项约定的违约情况时，无论发包人是否解除合同，发包人均有权向承包人课以项目专用合同条款中规定的违约金，并由发包人将其违约行为上报省级交通运输主管部门，作为不良记录纳入公路建设市场信用信息管理系统。</w:t>
      </w:r>
    </w:p>
    <w:p w14:paraId="0BDB33CF">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67" w:name="_bookmark249"/>
      <w:bookmarkEnd w:id="467"/>
      <w:bookmarkStart w:id="468" w:name="_Toc120443070"/>
      <w:bookmarkStart w:id="469" w:name="_Toc139464376"/>
      <w:bookmarkStart w:id="470" w:name="_Toc139463611"/>
      <w:bookmarkStart w:id="471" w:name="_Toc13946281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22.2 发包人违约</w:t>
      </w:r>
      <w:bookmarkEnd w:id="468"/>
      <w:bookmarkEnd w:id="469"/>
      <w:bookmarkEnd w:id="470"/>
      <w:bookmarkEnd w:id="471"/>
    </w:p>
    <w:p w14:paraId="32661E7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22.2.1 发包人违约的情形</w:t>
      </w:r>
    </w:p>
    <w:p w14:paraId="4580F12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本项（5）目细化为：</w:t>
      </w:r>
    </w:p>
    <w:p w14:paraId="76CD45A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（5）发包人无正当理由不按时返还履约保证金、质量保证金或农民工工资保证金的；</w:t>
      </w:r>
    </w:p>
    <w:p w14:paraId="64A2C57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（6）发包人不履行合同约定其他义务的。</w:t>
      </w:r>
    </w:p>
    <w:p w14:paraId="7B8A495F">
      <w:pPr>
        <w:pStyle w:val="11"/>
        <w:widowControl w:val="0"/>
        <w:tabs>
          <w:tab w:val="left" w:pos="1901"/>
        </w:tabs>
        <w:autoSpaceDE w:val="0"/>
        <w:autoSpaceDN w:val="0"/>
        <w:spacing w:after="0"/>
        <w:ind w:left="0" w:firstLine="442"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lang w:val="en-US" w:eastAsia="zh-CN"/>
          <w14:textFill>
            <w14:solidFill>
              <w14:schemeClr w14:val="tx1">
                <w14:lumMod w14:val="95000"/>
                <w14:lumOff w14:val="5000"/>
              </w14:schemeClr>
            </w14:solidFill>
          </w14:textFill>
        </w:rPr>
        <w:t xml:space="preserve">22.2.2 </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承包人有权暂停施工</w:t>
      </w:r>
    </w:p>
    <w:p w14:paraId="5995342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本项细化为：</w:t>
      </w:r>
    </w:p>
    <w:p w14:paraId="1FEC84D3">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2317B88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发包人发生第 22.2.1（5）目的违约情况时，承包人可向发包人发出通知，要求发包人采取有效措施纠正违约行为。发包人收到承包人通知后的 28 天内仍不返还履约保证金、质量保证金或农民工工资保证金的，发包人应按项目专用合同条款的约定向承包人支付逾期返还保证金的违约金。</w:t>
      </w:r>
    </w:p>
    <w:p w14:paraId="71EC741A">
      <w:pPr>
        <w:pStyle w:val="11"/>
        <w:widowControl w:val="0"/>
        <w:tabs>
          <w:tab w:val="left" w:pos="1901"/>
        </w:tabs>
        <w:autoSpaceDE w:val="0"/>
        <w:autoSpaceDN w:val="0"/>
        <w:spacing w:after="0"/>
        <w:ind w:left="0" w:firstLine="442" w:firstLineChars="200"/>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szCs w:val="24"/>
          <w14:textFill>
            <w14:solidFill>
              <w14:schemeClr w14:val="tx1">
                <w14:lumMod w14:val="95000"/>
                <w14:lumOff w14:val="5000"/>
              </w14:schemeClr>
            </w14:solidFill>
          </w14:textFill>
        </w:rPr>
        <w:t>22.2.4 解除合同后的付款</w:t>
      </w:r>
    </w:p>
    <w:p w14:paraId="1DC16D39">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本项（2）目细化为：</w:t>
      </w:r>
    </w:p>
    <w:p w14:paraId="4D3DDA76">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（2）承包人为该工程施工订购并已付款的材料、工程设备和其他物品的金额。发包人付款后，该材料、工程设备和其他物品归发包人所有；</w:t>
      </w:r>
    </w:p>
    <w:p w14:paraId="1A64D962">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72" w:name="_bookmark250"/>
      <w:bookmarkEnd w:id="472"/>
      <w:bookmarkStart w:id="473" w:name="_Toc139463612"/>
      <w:bookmarkStart w:id="474" w:name="_Toc120443071"/>
      <w:bookmarkStart w:id="475" w:name="_Toc139464377"/>
      <w:bookmarkStart w:id="476" w:name="_Toc13946281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23.索赔</w:t>
      </w:r>
      <w:bookmarkEnd w:id="473"/>
      <w:bookmarkEnd w:id="474"/>
      <w:bookmarkEnd w:id="475"/>
      <w:bookmarkEnd w:id="476"/>
    </w:p>
    <w:p w14:paraId="62DC4EE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77" w:name="_bookmark251"/>
      <w:bookmarkEnd w:id="477"/>
      <w:bookmarkStart w:id="478" w:name="_Toc139464378"/>
      <w:bookmarkStart w:id="479" w:name="_Toc139463613"/>
      <w:bookmarkStart w:id="480" w:name="_Toc139462814"/>
      <w:bookmarkStart w:id="481" w:name="_Toc120443072"/>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23.1 承包人索赔的提出</w:t>
      </w:r>
      <w:bookmarkEnd w:id="478"/>
      <w:bookmarkEnd w:id="479"/>
      <w:bookmarkEnd w:id="480"/>
      <w:bookmarkEnd w:id="481"/>
    </w:p>
    <w:p w14:paraId="5AA0A3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本款第（4）项细化为：</w:t>
      </w:r>
    </w:p>
    <w:p w14:paraId="5C63AAFF">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（4）在索赔事件影响结束后的 28 天内，承包人应向监理人递交最终索赔通知书，说明最终要求索赔的追加付款金额和（或）延长的工期，并附必要的记录和证明材料。</w:t>
      </w:r>
    </w:p>
    <w:p w14:paraId="590C2671">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82" w:name="_bookmark252"/>
      <w:bookmarkEnd w:id="482"/>
      <w:bookmarkStart w:id="483" w:name="_Toc139463614"/>
      <w:bookmarkStart w:id="484" w:name="_Toc120443073"/>
      <w:bookmarkStart w:id="485" w:name="_Toc139464379"/>
      <w:bookmarkStart w:id="486" w:name="_Toc13946281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23.2 承包人索赔处理程序</w:t>
      </w:r>
      <w:bookmarkEnd w:id="483"/>
      <w:bookmarkEnd w:id="484"/>
      <w:bookmarkEnd w:id="485"/>
      <w:bookmarkEnd w:id="486"/>
    </w:p>
    <w:p w14:paraId="5BF37B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本款第（2）项细化为：</w:t>
      </w:r>
    </w:p>
    <w:p w14:paraId="61E6F11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 工期延长天数。</w:t>
      </w:r>
    </w:p>
    <w:p w14:paraId="52789F34">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87" w:name="_bookmark253"/>
      <w:bookmarkEnd w:id="487"/>
      <w:bookmarkStart w:id="488" w:name="_Toc139464380"/>
      <w:bookmarkStart w:id="489" w:name="_Toc120443074"/>
      <w:bookmarkStart w:id="490" w:name="_Toc139462816"/>
      <w:bookmarkStart w:id="491" w:name="_Toc139463615"/>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24.争议的解决</w:t>
      </w:r>
      <w:bookmarkEnd w:id="488"/>
      <w:bookmarkEnd w:id="489"/>
      <w:bookmarkEnd w:id="490"/>
      <w:bookmarkEnd w:id="491"/>
    </w:p>
    <w:p w14:paraId="0CE5875D">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92" w:name="_bookmark254"/>
      <w:bookmarkEnd w:id="492"/>
      <w:bookmarkStart w:id="493" w:name="_Toc120443075"/>
      <w:bookmarkStart w:id="494" w:name="_Toc139464381"/>
      <w:bookmarkStart w:id="495" w:name="_Toc139463616"/>
      <w:bookmarkStart w:id="496" w:name="_Toc13946281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24.3 争议评审</w:t>
      </w:r>
      <w:bookmarkEnd w:id="493"/>
      <w:bookmarkEnd w:id="494"/>
      <w:bookmarkEnd w:id="495"/>
      <w:bookmarkEnd w:id="496"/>
    </w:p>
    <w:p w14:paraId="379F9B8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bookmarkStart w:id="497" w:name="_Toc1523"/>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第 24.3.1 项补充：</w:t>
      </w:r>
      <w:bookmarkEnd w:id="497"/>
    </w:p>
    <w:p w14:paraId="1E1E650E">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14:paraId="4D4A0B4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本条补充第 24.4 款、第 24.5 款（适用于采用仲裁方式最终解决争议的项目）：</w:t>
      </w:r>
    </w:p>
    <w:p w14:paraId="092B3833">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498" w:name="_bookmark255"/>
      <w:bookmarkEnd w:id="498"/>
      <w:bookmarkStart w:id="499" w:name="_Toc139462818"/>
      <w:bookmarkStart w:id="500" w:name="_Toc139464382"/>
      <w:bookmarkStart w:id="501" w:name="_Toc120443076"/>
      <w:bookmarkStart w:id="502" w:name="_Toc13946361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24.4 仲裁</w:t>
      </w:r>
      <w:bookmarkEnd w:id="499"/>
      <w:bookmarkEnd w:id="500"/>
      <w:bookmarkEnd w:id="501"/>
      <w:bookmarkEnd w:id="502"/>
    </w:p>
    <w:p w14:paraId="565F9047">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（1）对于未能友好解决或未能通过争议评审解决的争议，发包人或承包人任一方均有权提交给第 24.1 款约定的仲裁委员会仲裁。</w:t>
      </w:r>
    </w:p>
    <w:p w14:paraId="7ED02522">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（2）仲裁可在交工之前或之后进行，但发包人、监理人和承包人各自的义务不得因在工程实施期间进行仲裁而有所改变。如果仲裁是在终止合同的情况下进行， 则对合同工程应采取保护措施，措施费由败诉方承担。</w:t>
      </w:r>
    </w:p>
    <w:p w14:paraId="0ACBF2D8">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（3）仲裁裁决是终局性的并对发包人和承包人双方具有约束力。</w:t>
      </w:r>
    </w:p>
    <w:p w14:paraId="4629F73C">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（4）全部仲裁费用应由败诉方承担；或按仲裁委员会裁决的比例分担。</w:t>
      </w:r>
    </w:p>
    <w:p w14:paraId="541E6179">
      <w:pPr>
        <w:pStyle w:val="3"/>
        <w:snapToGrid w:val="0"/>
        <w:spacing w:before="0" w:after="0" w:line="300" w:lineRule="auto"/>
        <w:ind w:firstLine="440"/>
        <w:contextualSpacing/>
        <w:jc w:val="left"/>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03" w:name="_bookmark256"/>
      <w:bookmarkEnd w:id="503"/>
      <w:bookmarkStart w:id="504" w:name="_Toc120443077"/>
      <w:bookmarkStart w:id="505" w:name="_Toc139463618"/>
      <w:bookmarkStart w:id="506" w:name="_Toc139462819"/>
      <w:bookmarkStart w:id="507" w:name="_Toc13946438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24.5 仲裁的执行</w:t>
      </w:r>
      <w:bookmarkEnd w:id="504"/>
      <w:bookmarkEnd w:id="505"/>
      <w:bookmarkEnd w:id="506"/>
      <w:bookmarkEnd w:id="507"/>
    </w:p>
    <w:p w14:paraId="4A7A594A">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14:textFill>
            <w14:solidFill>
              <w14:schemeClr w14:val="tx1">
                <w14:lumMod w14:val="95000"/>
                <w14:lumOff w14:val="5000"/>
              </w14:schemeClr>
            </w14:solidFill>
          </w14:textFill>
        </w:rPr>
        <w:t>（</w:t>
      </w: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1）任何一方不履行仲裁机构的裁决的，对方可以向有管辖权的人民法院申请执行。</w:t>
      </w:r>
    </w:p>
    <w:p w14:paraId="229F5CAD">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14:paraId="79A89B4E">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026B2C0F">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69350746">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188E7924">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14F9A890">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2770C6FD">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76EA7DE">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D380FBF">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5AECF91C">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p>
    <w:p w14:paraId="42399941">
      <w:pPr>
        <w:autoSpaceDE w:val="0"/>
        <w:autoSpaceDN w:val="0"/>
        <w:spacing w:line="360" w:lineRule="auto"/>
        <w:ind w:firstLine="526" w:firstLineChars="200"/>
        <w:outlineLvl w:val="5"/>
        <w:rPr>
          <w:rFonts w:hint="eastAsia" w:ascii="宋体" w:hAnsi="宋体" w:eastAsia="宋体" w:cs="宋体"/>
          <w:b/>
          <w:bCs/>
          <w:color w:val="000000"/>
          <w:spacing w:val="-9"/>
          <w:kern w:val="0"/>
          <w:sz w:val="28"/>
          <w:szCs w:val="28"/>
        </w:rPr>
      </w:pPr>
      <w:r>
        <w:rPr>
          <w:rFonts w:hint="eastAsia" w:ascii="宋体" w:hAnsi="宋体" w:eastAsia="宋体" w:cs="宋体"/>
          <w:b/>
          <w:bCs/>
          <w:color w:val="000000"/>
          <w:spacing w:val="-9"/>
          <w:kern w:val="0"/>
          <w:sz w:val="28"/>
          <w:szCs w:val="28"/>
        </w:rPr>
        <w:t>B. 项目专用合同条款</w:t>
      </w:r>
    </w:p>
    <w:p w14:paraId="3EC6EC16">
      <w:pPr>
        <w:autoSpaceDE w:val="0"/>
        <w:autoSpaceDN w:val="0"/>
        <w:snapToGrid w:val="0"/>
        <w:ind w:firstLine="444" w:firstLineChars="200"/>
        <w:rPr>
          <w:rFonts w:hint="eastAsia" w:ascii="宋体" w:hAnsi="宋体" w:eastAsia="宋体" w:cs="宋体"/>
          <w:color w:val="000000"/>
          <w:spacing w:val="-9"/>
          <w:kern w:val="0"/>
          <w:sz w:val="24"/>
        </w:rPr>
      </w:pPr>
      <w:r>
        <w:rPr>
          <w:rFonts w:hint="eastAsia" w:ascii="宋体" w:hAnsi="宋体" w:eastAsia="宋体" w:cs="宋体"/>
          <w:color w:val="000000"/>
          <w:spacing w:val="-9"/>
          <w:kern w:val="0"/>
          <w:sz w:val="24"/>
        </w:rPr>
        <w:t>说明：</w:t>
      </w:r>
    </w:p>
    <w:p w14:paraId="63315A57">
      <w:pPr>
        <w:numPr>
          <w:ilvl w:val="0"/>
          <w:numId w:val="2"/>
        </w:numPr>
        <w:autoSpaceDE w:val="0"/>
        <w:autoSpaceDN w:val="0"/>
        <w:snapToGrid w:val="0"/>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14:paraId="69612B2C">
      <w:pPr>
        <w:autoSpaceDE w:val="0"/>
        <w:autoSpaceDN w:val="0"/>
        <w:snapToGrid w:val="0"/>
        <w:spacing w:before="119"/>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2.项目专用合同条款的编号应与通用合同条款和公路工程专用合同条款一致。</w:t>
      </w:r>
    </w:p>
    <w:p w14:paraId="4AE27D72">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3.项目专用合同条款可对下列内容进行补充和细化：</w:t>
      </w:r>
    </w:p>
    <w:p w14:paraId="18FD73B4">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1）“通用合同条款”中明确指出“专用合同条款”可对“通用合同条款”进行修改的内容（在“通用合同条用“应按合同约定”“应按专用合同条款约定”“除合同另有约定外”“除专用合同条款另有约定外”“在专用合同条款中约定”等多种文字形式表达）；</w:t>
      </w:r>
    </w:p>
    <w:p w14:paraId="780A468E">
      <w:pPr>
        <w:autoSpaceDE w:val="0"/>
        <w:autoSpaceDN w:val="0"/>
        <w:snapToGrid w:val="0"/>
        <w:ind w:firstLine="480" w:firstLineChars="200"/>
        <w:jc w:val="left"/>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（2）“公路工程专用合同条款”中明确指出“项目专用合同条款”可对“公路工程专用合同条款”进行修改的内容（在“公路工程专用合同条款”中用“除项目专用合同条  款另有约定外”“项目专用合同条款可能约定的”“项目专用合同条款约定的其他情形”等多种文字形式表达）。</w:t>
      </w:r>
    </w:p>
    <w:p w14:paraId="68C1A728">
      <w:pPr>
        <w:autoSpaceDE w:val="0"/>
        <w:autoSpaceDN w:val="0"/>
        <w:snapToGrid w:val="0"/>
        <w:ind w:firstLine="480" w:firstLineChars="200"/>
        <w:rPr>
          <w:rFonts w:hint="eastAsia" w:ascii="宋体" w:hAnsi="宋体" w:eastAsia="宋体" w:cs="宋体"/>
          <w:color w:val="000000"/>
          <w:spacing w:val="0"/>
          <w:kern w:val="0"/>
          <w:sz w:val="24"/>
        </w:rPr>
      </w:pPr>
      <w:r>
        <w:rPr>
          <w:rFonts w:hint="eastAsia" w:ascii="宋体" w:hAnsi="宋体" w:eastAsia="宋体" w:cs="宋体"/>
          <w:color w:val="000000"/>
          <w:spacing w:val="0"/>
          <w:kern w:val="0"/>
          <w:sz w:val="24"/>
        </w:rPr>
        <w:t>（3）其他需要补充、细化的内容。</w:t>
      </w:r>
    </w:p>
    <w:p w14:paraId="0E60E4C9">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9EC49AF">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5D0424E">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A5C93B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121C8D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9F2DAF6">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B6DAFD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F75DAE3">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1020BC3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7317384">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203CA28">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6947A2A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7D985420">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3CEB79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6C8437D">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3A7EF0F5">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5B5DC64C">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466CBED">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26931A9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p>
    <w:p w14:paraId="4531F1D8">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t xml:space="preserve"> </w:t>
      </w:r>
      <w:bookmarkStart w:id="508" w:name="_Toc139463619"/>
      <w:bookmarkStart w:id="509" w:name="_Toc139462820"/>
      <w:bookmarkStart w:id="510" w:name="_Toc139464384"/>
      <w:bookmarkStart w:id="511" w:name="_Toc120443079"/>
      <w:r>
        <w:rPr>
          <w:rFonts w:hint="eastAsia" w:ascii="宋体" w:hAnsi="宋体" w:eastAsia="宋体" w:cs="宋体"/>
          <w:b/>
          <w:color w:val="0D0D0D" w:themeColor="text1" w:themeTint="F2"/>
          <w:szCs w:val="24"/>
          <w14:textFill>
            <w14:solidFill>
              <w14:schemeClr w14:val="tx1">
                <w14:lumMod w14:val="95000"/>
                <w14:lumOff w14:val="5000"/>
              </w14:schemeClr>
            </w14:solidFill>
          </w14:textFill>
        </w:rPr>
        <w:t>项目专用合同条款数据表</w:t>
      </w:r>
      <w:bookmarkEnd w:id="508"/>
      <w:bookmarkEnd w:id="509"/>
      <w:bookmarkEnd w:id="510"/>
      <w:bookmarkEnd w:id="511"/>
    </w:p>
    <w:p w14:paraId="0D0F3EC1">
      <w:pPr>
        <w:pStyle w:val="11"/>
        <w:widowControl w:val="0"/>
        <w:tabs>
          <w:tab w:val="left" w:pos="1901"/>
        </w:tabs>
        <w:autoSpaceDE w:val="0"/>
        <w:autoSpaceDN w:val="0"/>
        <w:spacing w:after="0"/>
        <w:ind w:left="0" w:firstLine="440" w:firstLineChars="200"/>
        <w:rPr>
          <w:rFonts w:hint="eastAsia" w:ascii="宋体" w:hAnsi="宋体" w:eastAsia="宋体" w:cs="宋体"/>
          <w:color w:val="0D0D0D" w:themeColor="text1" w:themeTint="F2"/>
          <w:szCs w:val="24"/>
          <w14:textFill>
            <w14:solidFill>
              <w14:schemeClr w14:val="tx1">
                <w14:lumMod w14:val="95000"/>
                <w14:lumOff w14:val="5000"/>
              </w14:schemeClr>
            </w14:solidFill>
          </w14:textFill>
        </w:rPr>
      </w:pPr>
      <w:r>
        <w:rPr>
          <w:rFonts w:hint="eastAsia" w:ascii="宋体" w:hAnsi="宋体" w:eastAsia="宋体" w:cs="宋体"/>
          <w:color w:val="0D0D0D" w:themeColor="text1" w:themeTint="F2"/>
          <w:szCs w:val="24"/>
          <w14:textFill>
            <w14:solidFill>
              <w14:schemeClr w14:val="tx1">
                <w14:lumMod w14:val="95000"/>
                <w14:lumOff w14:val="5000"/>
              </w14:schemeClr>
            </w14:solidFill>
          </w14:textFill>
        </w:rPr>
        <w:t>说明：本数据表是项目专用合同条款中适用于本项目的信息和数据的归纳与提示，是项目专用合同条款的组成部分。</w:t>
      </w:r>
    </w:p>
    <w:tbl>
      <w:tblPr>
        <w:tblStyle w:val="8"/>
        <w:tblW w:w="985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565"/>
        <w:gridCol w:w="7475"/>
      </w:tblGrid>
      <w:tr w14:paraId="1A2A3B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769C1F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序号</w:t>
            </w:r>
          </w:p>
        </w:tc>
        <w:tc>
          <w:tcPr>
            <w:tcW w:w="1565" w:type="dxa"/>
            <w:tcBorders>
              <w:tl2br w:val="nil"/>
              <w:tr2bl w:val="nil"/>
            </w:tcBorders>
            <w:vAlign w:val="center"/>
          </w:tcPr>
          <w:p w14:paraId="38A9739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条目号</w:t>
            </w:r>
          </w:p>
        </w:tc>
        <w:tc>
          <w:tcPr>
            <w:tcW w:w="7475" w:type="dxa"/>
            <w:tcBorders>
              <w:tl2br w:val="nil"/>
              <w:tr2bl w:val="nil"/>
            </w:tcBorders>
            <w:vAlign w:val="center"/>
          </w:tcPr>
          <w:p w14:paraId="734D9BA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信息或数据</w:t>
            </w:r>
          </w:p>
        </w:tc>
      </w:tr>
      <w:tr w14:paraId="57807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CA31EA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w:t>
            </w:r>
          </w:p>
        </w:tc>
        <w:tc>
          <w:tcPr>
            <w:tcW w:w="1565" w:type="dxa"/>
            <w:tcBorders>
              <w:tl2br w:val="nil"/>
              <w:tr2bl w:val="nil"/>
            </w:tcBorders>
            <w:vAlign w:val="center"/>
          </w:tcPr>
          <w:p w14:paraId="3341B2F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1.1.2.2</w:t>
            </w:r>
          </w:p>
        </w:tc>
        <w:tc>
          <w:tcPr>
            <w:tcW w:w="7475" w:type="dxa"/>
            <w:tcBorders>
              <w:tl2br w:val="nil"/>
              <w:tr2bl w:val="nil"/>
            </w:tcBorders>
          </w:tcPr>
          <w:p w14:paraId="439A6360">
            <w:pPr>
              <w:pStyle w:val="12"/>
              <w:autoSpaceDE w:val="0"/>
              <w:autoSpaceDN w:val="0"/>
              <w:spacing w:line="276" w:lineRule="auto"/>
              <w:rPr>
                <w:rFonts w:hint="eastAsia" w:ascii="宋体" w:hAnsi="宋体" w:eastAsia="宋体" w:cs="宋体"/>
                <w:color w:val="0D0D0D" w:themeColor="text1" w:themeTint="F2"/>
                <w:sz w:val="28"/>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 包 人 ：</w:t>
            </w:r>
            <w:r>
              <w:rPr>
                <w:rFonts w:hint="eastAsia" w:ascii="宋体" w:hAnsi="宋体" w:cs="宋体"/>
                <w:color w:val="0D0D0D" w:themeColor="text1" w:themeTint="F2"/>
                <w:sz w:val="22"/>
                <w:lang w:eastAsia="zh-CN"/>
                <w14:textFill>
                  <w14:solidFill>
                    <w14:schemeClr w14:val="tx1">
                      <w14:lumMod w14:val="95000"/>
                      <w14:lumOff w14:val="5000"/>
                    </w14:schemeClr>
                  </w14:solidFill>
                </w14:textFill>
              </w:rPr>
              <w:t>汉中市南郑区碑坝镇人民政府</w:t>
            </w:r>
          </w:p>
          <w:p w14:paraId="6251FFF6">
            <w:pPr>
              <w:pStyle w:val="12"/>
              <w:tabs>
                <w:tab w:val="left" w:pos="979"/>
                <w:tab w:val="left" w:pos="3394"/>
              </w:tabs>
              <w:autoSpaceDE w:val="0"/>
              <w:autoSpaceDN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地     址：</w:t>
            </w:r>
            <w:r>
              <w:rPr>
                <w:rFonts w:hint="eastAsia" w:ascii="宋体" w:hAnsi="宋体" w:cs="宋体"/>
                <w:color w:val="0D0D0D" w:themeColor="text1" w:themeTint="F2"/>
                <w:sz w:val="22"/>
                <w:lang w:val="en-US" w:eastAsia="zh-CN"/>
                <w14:textFill>
                  <w14:solidFill>
                    <w14:schemeClr w14:val="tx1">
                      <w14:lumMod w14:val="95000"/>
                      <w14:lumOff w14:val="5000"/>
                    </w14:schemeClr>
                  </w14:solidFill>
                </w14:textFill>
              </w:rPr>
              <w:t>汉中市南郑区</w:t>
            </w:r>
            <w:r>
              <w:rPr>
                <w:rFonts w:hint="eastAsia" w:ascii="宋体" w:hAnsi="宋体" w:eastAsia="宋体" w:cs="宋体"/>
                <w:color w:val="0D0D0D" w:themeColor="text1" w:themeTint="F2"/>
                <w:sz w:val="28"/>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tc>
      </w:tr>
      <w:tr w14:paraId="5EF17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858F28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w:t>
            </w:r>
          </w:p>
        </w:tc>
        <w:tc>
          <w:tcPr>
            <w:tcW w:w="1565" w:type="dxa"/>
            <w:tcBorders>
              <w:tl2br w:val="nil"/>
              <w:tr2bl w:val="nil"/>
            </w:tcBorders>
            <w:vAlign w:val="center"/>
          </w:tcPr>
          <w:p w14:paraId="3172B58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1.1.2.6</w:t>
            </w:r>
          </w:p>
        </w:tc>
        <w:tc>
          <w:tcPr>
            <w:tcW w:w="7475" w:type="dxa"/>
            <w:tcBorders>
              <w:tl2br w:val="nil"/>
              <w:tr2bl w:val="nil"/>
            </w:tcBorders>
            <w:vAlign w:val="center"/>
          </w:tcPr>
          <w:p w14:paraId="10D4F1AC">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监 理 人：由发包人以书面形式通知承包人。</w:t>
            </w:r>
          </w:p>
        </w:tc>
      </w:tr>
      <w:tr w14:paraId="5E9157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C495C0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w:t>
            </w:r>
          </w:p>
        </w:tc>
        <w:tc>
          <w:tcPr>
            <w:tcW w:w="1565" w:type="dxa"/>
            <w:tcBorders>
              <w:tl2br w:val="nil"/>
              <w:tr2bl w:val="nil"/>
            </w:tcBorders>
            <w:vAlign w:val="center"/>
          </w:tcPr>
          <w:p w14:paraId="49C6AD0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1.1.4.5</w:t>
            </w:r>
          </w:p>
        </w:tc>
        <w:tc>
          <w:tcPr>
            <w:tcW w:w="7475" w:type="dxa"/>
            <w:tcBorders>
              <w:tl2br w:val="nil"/>
              <w:tr2bl w:val="nil"/>
            </w:tcBorders>
            <w:vAlign w:val="center"/>
          </w:tcPr>
          <w:p w14:paraId="47A5B375">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缺陷责任期：自</w:t>
            </w:r>
            <w:r>
              <w:rPr>
                <w:rFonts w:hint="eastAsia" w:ascii="宋体" w:hAnsi="宋体" w:eastAsia="宋体" w:cs="宋体"/>
                <w:color w:val="0D0D0D" w:themeColor="text1" w:themeTint="F2"/>
                <w:sz w:val="22"/>
                <w:szCs w:val="21"/>
                <w14:textFill>
                  <w14:solidFill>
                    <w14:schemeClr w14:val="tx1">
                      <w14:lumMod w14:val="95000"/>
                      <w14:lumOff w14:val="5000"/>
                    </w14:schemeClr>
                  </w14:solidFill>
                </w14:textFill>
              </w:rPr>
              <w:t>交工证书签发</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日期起计算</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2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w:t>
            </w:r>
          </w:p>
        </w:tc>
      </w:tr>
      <w:tr w14:paraId="567EC2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3EE1EB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w:t>
            </w:r>
          </w:p>
        </w:tc>
        <w:tc>
          <w:tcPr>
            <w:tcW w:w="1565" w:type="dxa"/>
            <w:tcBorders>
              <w:tl2br w:val="nil"/>
              <w:tr2bl w:val="nil"/>
            </w:tcBorders>
            <w:vAlign w:val="center"/>
          </w:tcPr>
          <w:p w14:paraId="0366F8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1.6.3</w:t>
            </w:r>
          </w:p>
        </w:tc>
        <w:tc>
          <w:tcPr>
            <w:tcW w:w="7475" w:type="dxa"/>
            <w:tcBorders>
              <w:tl2br w:val="nil"/>
              <w:tr2bl w:val="nil"/>
            </w:tcBorders>
            <w:vAlign w:val="center"/>
          </w:tcPr>
          <w:p w14:paraId="14FA977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图纸需要修改和补充的，应由监理人取得发包人同意后，在该项工程或工程相应部位施工前</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7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天签发图纸修改图给承包人。</w:t>
            </w:r>
          </w:p>
        </w:tc>
      </w:tr>
      <w:tr w14:paraId="2F5A3B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99F977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w:t>
            </w:r>
          </w:p>
        </w:tc>
        <w:tc>
          <w:tcPr>
            <w:tcW w:w="1565" w:type="dxa"/>
            <w:tcBorders>
              <w:tl2br w:val="nil"/>
              <w:tr2bl w:val="nil"/>
            </w:tcBorders>
            <w:vAlign w:val="center"/>
          </w:tcPr>
          <w:p w14:paraId="5B1E817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3.1.1</w:t>
            </w:r>
          </w:p>
        </w:tc>
        <w:tc>
          <w:tcPr>
            <w:tcW w:w="7475" w:type="dxa"/>
            <w:tcBorders>
              <w:tl2br w:val="nil"/>
              <w:tr2bl w:val="nil"/>
            </w:tcBorders>
            <w:vAlign w:val="center"/>
          </w:tcPr>
          <w:p w14:paraId="2F86710D">
            <w:pPr>
              <w:autoSpaceDE w:val="0"/>
              <w:autoSpaceDN w:val="0"/>
              <w:snapToGrid w:val="0"/>
              <w:spacing w:line="276" w:lineRule="auto"/>
              <w:jc w:val="left"/>
              <w:rPr>
                <w:rFonts w:hint="eastAsia" w:ascii="宋体" w:hAnsi="宋体" w:eastAsia="宋体" w:cs="宋体"/>
                <w:lang w:eastAsia="zh-CN"/>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监理人在行使变更权利前需要经发包人事先批准</w:t>
            </w:r>
            <w:r>
              <w:rPr>
                <w:rFonts w:hint="eastAsia" w:ascii="宋体" w:hAnsi="宋体" w:eastAsia="宋体" w:cs="宋体"/>
                <w:color w:val="0D0D0D" w:themeColor="text1" w:themeTint="F2"/>
                <w:sz w:val="22"/>
                <w:lang w:eastAsia="zh-CN"/>
                <w14:textFill>
                  <w14:solidFill>
                    <w14:schemeClr w14:val="tx1">
                      <w14:lumMod w14:val="95000"/>
                      <w14:lumOff w14:val="5000"/>
                    </w14:schemeClr>
                  </w14:solidFill>
                </w14:textFill>
              </w:rPr>
              <w:t>。</w:t>
            </w:r>
          </w:p>
        </w:tc>
      </w:tr>
      <w:tr w14:paraId="787217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811" w:type="dxa"/>
            <w:tcBorders>
              <w:tl2br w:val="nil"/>
              <w:tr2bl w:val="nil"/>
            </w:tcBorders>
            <w:vAlign w:val="center"/>
          </w:tcPr>
          <w:p w14:paraId="1F86B44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w:t>
            </w:r>
          </w:p>
        </w:tc>
        <w:tc>
          <w:tcPr>
            <w:tcW w:w="1565" w:type="dxa"/>
            <w:tcBorders>
              <w:tl2br w:val="nil"/>
              <w:tr2bl w:val="nil"/>
            </w:tcBorders>
            <w:vAlign w:val="center"/>
          </w:tcPr>
          <w:p w14:paraId="5199551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5.2.1</w:t>
            </w:r>
          </w:p>
        </w:tc>
        <w:tc>
          <w:tcPr>
            <w:tcW w:w="7475" w:type="dxa"/>
            <w:tcBorders>
              <w:tl2br w:val="nil"/>
              <w:tr2bl w:val="nil"/>
            </w:tcBorders>
            <w:vAlign w:val="center"/>
          </w:tcPr>
          <w:p w14:paraId="5AE0FD1F">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发包人是否提供材料或工程设备：否</w:t>
            </w:r>
          </w:p>
        </w:tc>
      </w:tr>
      <w:tr w14:paraId="0D9DA4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540D17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w:t>
            </w:r>
          </w:p>
        </w:tc>
        <w:tc>
          <w:tcPr>
            <w:tcW w:w="1565" w:type="dxa"/>
            <w:tcBorders>
              <w:tl2br w:val="nil"/>
              <w:tr2bl w:val="nil"/>
            </w:tcBorders>
            <w:vAlign w:val="center"/>
          </w:tcPr>
          <w:p w14:paraId="670B187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6.2</w:t>
            </w:r>
          </w:p>
        </w:tc>
        <w:tc>
          <w:tcPr>
            <w:tcW w:w="7475" w:type="dxa"/>
            <w:tcBorders>
              <w:tl2br w:val="nil"/>
              <w:tr2bl w:val="nil"/>
            </w:tcBorders>
            <w:vAlign w:val="center"/>
          </w:tcPr>
          <w:p w14:paraId="0268BEF6">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发包人是否提供施工设备和临时设施：否</w:t>
            </w:r>
          </w:p>
        </w:tc>
      </w:tr>
      <w:tr w14:paraId="641573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4B7B6E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w:t>
            </w:r>
          </w:p>
        </w:tc>
        <w:tc>
          <w:tcPr>
            <w:tcW w:w="1565" w:type="dxa"/>
            <w:tcBorders>
              <w:tl2br w:val="nil"/>
              <w:tr2bl w:val="nil"/>
            </w:tcBorders>
            <w:vAlign w:val="center"/>
          </w:tcPr>
          <w:p w14:paraId="5B2E4A48">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8.1.1</w:t>
            </w:r>
          </w:p>
        </w:tc>
        <w:tc>
          <w:tcPr>
            <w:tcW w:w="7475" w:type="dxa"/>
            <w:tcBorders>
              <w:tl2br w:val="nil"/>
              <w:tr2bl w:val="nil"/>
            </w:tcBorders>
            <w:vAlign w:val="center"/>
          </w:tcPr>
          <w:p w14:paraId="1340FED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发包人提供测量基准点、基准先和水准点及其书面资料的期限：</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进场后5日</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p w14:paraId="5C3137A7">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承包人将施工控制网资料报送监理人审批的期限：</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进驻工地后5日内</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tc>
      </w:tr>
      <w:tr w14:paraId="1677AC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7B9DE7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9</w:t>
            </w:r>
          </w:p>
        </w:tc>
        <w:tc>
          <w:tcPr>
            <w:tcW w:w="1565" w:type="dxa"/>
            <w:tcBorders>
              <w:tl2br w:val="nil"/>
              <w:tr2bl w:val="nil"/>
            </w:tcBorders>
            <w:vAlign w:val="center"/>
          </w:tcPr>
          <w:p w14:paraId="5A58F6B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11.5</w:t>
            </w:r>
          </w:p>
        </w:tc>
        <w:tc>
          <w:tcPr>
            <w:tcW w:w="7475" w:type="dxa"/>
            <w:tcBorders>
              <w:tl2br w:val="nil"/>
              <w:tr2bl w:val="nil"/>
            </w:tcBorders>
            <w:vAlign w:val="center"/>
          </w:tcPr>
          <w:p w14:paraId="68A7489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逾期交工违约金</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：1000元/天</w:t>
            </w:r>
          </w:p>
        </w:tc>
      </w:tr>
      <w:tr w14:paraId="65B856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06FD17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w:t>
            </w:r>
          </w:p>
        </w:tc>
        <w:tc>
          <w:tcPr>
            <w:tcW w:w="1565" w:type="dxa"/>
            <w:tcBorders>
              <w:tl2br w:val="nil"/>
              <w:tr2bl w:val="nil"/>
            </w:tcBorders>
            <w:vAlign w:val="center"/>
          </w:tcPr>
          <w:p w14:paraId="479AFA3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11.5</w:t>
            </w:r>
          </w:p>
        </w:tc>
        <w:tc>
          <w:tcPr>
            <w:tcW w:w="7475" w:type="dxa"/>
            <w:tcBorders>
              <w:tl2br w:val="nil"/>
              <w:tr2bl w:val="nil"/>
            </w:tcBorders>
            <w:vAlign w:val="center"/>
          </w:tcPr>
          <w:p w14:paraId="4AA65E2A">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逾期交工违约金限额：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10 %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签约合同价</w:t>
            </w:r>
            <w:bookmarkStart w:id="552" w:name="_GoBack"/>
            <w:bookmarkEnd w:id="552"/>
          </w:p>
        </w:tc>
      </w:tr>
      <w:tr w14:paraId="157E3F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561A59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w:t>
            </w:r>
          </w:p>
        </w:tc>
        <w:tc>
          <w:tcPr>
            <w:tcW w:w="1565" w:type="dxa"/>
            <w:tcBorders>
              <w:tl2br w:val="nil"/>
              <w:tr2bl w:val="nil"/>
            </w:tcBorders>
            <w:vAlign w:val="center"/>
          </w:tcPr>
          <w:p w14:paraId="740E67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11.6</w:t>
            </w:r>
          </w:p>
        </w:tc>
        <w:tc>
          <w:tcPr>
            <w:tcW w:w="7475" w:type="dxa"/>
            <w:tcBorders>
              <w:tl2br w:val="nil"/>
              <w:tr2bl w:val="nil"/>
            </w:tcBorders>
            <w:vAlign w:val="center"/>
          </w:tcPr>
          <w:p w14:paraId="145186F0">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提前交工的奖金：无</w:t>
            </w:r>
          </w:p>
        </w:tc>
      </w:tr>
      <w:tr w14:paraId="09E8EB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11" w:type="dxa"/>
            <w:tcBorders>
              <w:tl2br w:val="nil"/>
              <w:tr2bl w:val="nil"/>
            </w:tcBorders>
            <w:vAlign w:val="center"/>
          </w:tcPr>
          <w:p w14:paraId="7BED397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w:t>
            </w:r>
          </w:p>
        </w:tc>
        <w:tc>
          <w:tcPr>
            <w:tcW w:w="1565" w:type="dxa"/>
            <w:tcBorders>
              <w:tl2br w:val="nil"/>
              <w:tr2bl w:val="nil"/>
            </w:tcBorders>
            <w:vAlign w:val="center"/>
          </w:tcPr>
          <w:p w14:paraId="30245B2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11.6</w:t>
            </w:r>
          </w:p>
        </w:tc>
        <w:tc>
          <w:tcPr>
            <w:tcW w:w="7475" w:type="dxa"/>
            <w:tcBorders>
              <w:tl2br w:val="nil"/>
              <w:tr2bl w:val="nil"/>
            </w:tcBorders>
            <w:vAlign w:val="center"/>
          </w:tcPr>
          <w:p w14:paraId="4F469C6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提前交工的奖金限额：</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无</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w:t>
            </w:r>
          </w:p>
        </w:tc>
      </w:tr>
      <w:tr w14:paraId="69F5C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811" w:type="dxa"/>
            <w:tcBorders>
              <w:tl2br w:val="nil"/>
              <w:tr2bl w:val="nil"/>
            </w:tcBorders>
            <w:vAlign w:val="center"/>
          </w:tcPr>
          <w:p w14:paraId="30AA59BD">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13</w:t>
            </w:r>
          </w:p>
        </w:tc>
        <w:tc>
          <w:tcPr>
            <w:tcW w:w="1565" w:type="dxa"/>
            <w:tcBorders>
              <w:tl2br w:val="nil"/>
              <w:tr2bl w:val="nil"/>
            </w:tcBorders>
            <w:vAlign w:val="center"/>
          </w:tcPr>
          <w:p w14:paraId="57A5E9E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15.5.2</w:t>
            </w:r>
          </w:p>
        </w:tc>
        <w:tc>
          <w:tcPr>
            <w:tcW w:w="7475" w:type="dxa"/>
            <w:tcBorders>
              <w:tl2br w:val="nil"/>
              <w:tr2bl w:val="nil"/>
            </w:tcBorders>
            <w:vAlign w:val="center"/>
          </w:tcPr>
          <w:p w14:paraId="4E72AADB">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承包人提出的合理化建议降低了合同价格或者提高了工程经济效益的，发包人按所节约成本的</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%或增加收益的</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%给予奖励</w:t>
            </w:r>
            <w:r>
              <w:rPr>
                <w:rFonts w:hint="eastAsia" w:ascii="宋体" w:hAnsi="宋体" w:eastAsia="宋体" w:cs="宋体"/>
                <w:color w:val="0D0D0D" w:themeColor="text1" w:themeTint="F2"/>
                <w:sz w:val="20"/>
                <w:szCs w:val="21"/>
                <w14:textFill>
                  <w14:solidFill>
                    <w14:schemeClr w14:val="tx1">
                      <w14:lumMod w14:val="95000"/>
                      <w14:lumOff w14:val="5000"/>
                    </w14:schemeClr>
                  </w14:solidFill>
                </w14:textFill>
              </w:rPr>
              <w:t>：(不适用)。</w:t>
            </w:r>
          </w:p>
        </w:tc>
      </w:tr>
      <w:tr w14:paraId="77D13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811" w:type="dxa"/>
            <w:tcBorders>
              <w:tl2br w:val="nil"/>
              <w:tr2bl w:val="nil"/>
            </w:tcBorders>
            <w:vAlign w:val="center"/>
          </w:tcPr>
          <w:p w14:paraId="70C95C9C">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14</w:t>
            </w:r>
          </w:p>
        </w:tc>
        <w:tc>
          <w:tcPr>
            <w:tcW w:w="1565" w:type="dxa"/>
            <w:tcBorders>
              <w:tl2br w:val="nil"/>
              <w:tr2bl w:val="nil"/>
            </w:tcBorders>
            <w:vAlign w:val="center"/>
          </w:tcPr>
          <w:p w14:paraId="18B75D84">
            <w:pPr>
              <w:autoSpaceDE w:val="0"/>
              <w:autoSpaceDN w:val="0"/>
              <w:snapToGrid w:val="0"/>
              <w:spacing w:line="276" w:lineRule="auto"/>
              <w:jc w:val="cente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16.1</w:t>
            </w:r>
          </w:p>
        </w:tc>
        <w:tc>
          <w:tcPr>
            <w:tcW w:w="7475" w:type="dxa"/>
            <w:tcBorders>
              <w:tl2br w:val="nil"/>
              <w:tr2bl w:val="nil"/>
            </w:tcBorders>
            <w:vAlign w:val="center"/>
          </w:tcPr>
          <w:p w14:paraId="5758EF73">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合同期内不调价。</w:t>
            </w:r>
          </w:p>
        </w:tc>
      </w:tr>
      <w:tr w14:paraId="46FB2B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B7854E4">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w:t>
            </w:r>
          </w:p>
        </w:tc>
        <w:tc>
          <w:tcPr>
            <w:tcW w:w="1565" w:type="dxa"/>
            <w:tcBorders>
              <w:tl2br w:val="nil"/>
              <w:tr2bl w:val="nil"/>
            </w:tcBorders>
            <w:vAlign w:val="center"/>
          </w:tcPr>
          <w:p w14:paraId="25BF6B3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17.2.1（1）</w:t>
            </w:r>
          </w:p>
        </w:tc>
        <w:tc>
          <w:tcPr>
            <w:tcW w:w="7475" w:type="dxa"/>
            <w:tcBorders>
              <w:tl2br w:val="nil"/>
              <w:tr2bl w:val="nil"/>
            </w:tcBorders>
            <w:vAlign w:val="center"/>
          </w:tcPr>
          <w:p w14:paraId="033615E7">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开工预付款金额：</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 xml:space="preserve"> 30 </w:t>
            </w:r>
            <w:r>
              <w:rPr>
                <w:rFonts w:hint="eastAsia" w:ascii="宋体" w:hAnsi="宋体" w:eastAsia="宋体" w:cs="宋体"/>
                <w:color w:val="0D0D0D" w:themeColor="text1" w:themeTint="F2"/>
                <w:sz w:val="22"/>
                <w:u w:val="non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none"/>
                <w:lang w:val="en-US" w:eastAsia="zh-CN"/>
                <w14:textFill>
                  <w14:solidFill>
                    <w14:schemeClr w14:val="tx1">
                      <w14:lumMod w14:val="95000"/>
                      <w14:lumOff w14:val="5000"/>
                    </w14:schemeClr>
                  </w14:solidFill>
                </w14:textFill>
              </w:rPr>
              <w:t>%签约合同价</w:t>
            </w:r>
          </w:p>
        </w:tc>
      </w:tr>
      <w:tr w14:paraId="5EDE7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456452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w:t>
            </w:r>
          </w:p>
        </w:tc>
        <w:tc>
          <w:tcPr>
            <w:tcW w:w="1565" w:type="dxa"/>
            <w:tcBorders>
              <w:tl2br w:val="nil"/>
              <w:tr2bl w:val="nil"/>
            </w:tcBorders>
            <w:vAlign w:val="center"/>
          </w:tcPr>
          <w:p w14:paraId="17267A1B">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17.2.1（2）</w:t>
            </w:r>
          </w:p>
        </w:tc>
        <w:tc>
          <w:tcPr>
            <w:tcW w:w="7475" w:type="dxa"/>
            <w:tcBorders>
              <w:tl2br w:val="nil"/>
              <w:tr2bl w:val="nil"/>
            </w:tcBorders>
            <w:vAlign w:val="center"/>
          </w:tcPr>
          <w:p w14:paraId="03652A36">
            <w:pPr>
              <w:autoSpaceDE w:val="0"/>
              <w:autoSpaceDN w:val="0"/>
              <w:snapToGrid w:val="0"/>
              <w:spacing w:line="276" w:lineRule="auto"/>
              <w:jc w:val="left"/>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材料、设备预付款比例：</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u w:val="none"/>
                <w:lang w:val="en-US" w:eastAsia="zh-CN"/>
                <w14:textFill>
                  <w14:solidFill>
                    <w14:schemeClr w14:val="tx1">
                      <w14:lumMod w14:val="95000"/>
                      <w14:lumOff w14:val="5000"/>
                    </w14:schemeClr>
                  </w14:solidFill>
                </w14:textFill>
              </w:rPr>
              <w:t>等主要材料、设备单据所列费用的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 xml:space="preserve">  </w:t>
            </w:r>
          </w:p>
        </w:tc>
      </w:tr>
      <w:tr w14:paraId="463144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03E744FA">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w:t>
            </w:r>
          </w:p>
        </w:tc>
        <w:tc>
          <w:tcPr>
            <w:tcW w:w="1565" w:type="dxa"/>
            <w:tcBorders>
              <w:tl2br w:val="nil"/>
              <w:tr2bl w:val="nil"/>
            </w:tcBorders>
            <w:vAlign w:val="center"/>
          </w:tcPr>
          <w:p w14:paraId="595A6C5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17.3.2</w:t>
            </w:r>
          </w:p>
        </w:tc>
        <w:tc>
          <w:tcPr>
            <w:tcW w:w="7475" w:type="dxa"/>
            <w:tcBorders>
              <w:tl2br w:val="nil"/>
              <w:tr2bl w:val="nil"/>
            </w:tcBorders>
            <w:vAlign w:val="center"/>
          </w:tcPr>
          <w:p w14:paraId="720449A8">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承包人在每个付款周期末向监理人提交进度付款申请单的份数： 5 份</w:t>
            </w:r>
          </w:p>
        </w:tc>
      </w:tr>
      <w:tr w14:paraId="5838BB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3E05081F">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w:t>
            </w:r>
          </w:p>
        </w:tc>
        <w:tc>
          <w:tcPr>
            <w:tcW w:w="1565" w:type="dxa"/>
            <w:tcBorders>
              <w:tl2br w:val="nil"/>
              <w:tr2bl w:val="nil"/>
            </w:tcBorders>
            <w:vAlign w:val="center"/>
          </w:tcPr>
          <w:p w14:paraId="0B82E2D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17.3.3（1）</w:t>
            </w:r>
          </w:p>
        </w:tc>
        <w:tc>
          <w:tcPr>
            <w:tcW w:w="7475" w:type="dxa"/>
            <w:tcBorders>
              <w:tl2br w:val="nil"/>
              <w:tr2bl w:val="nil"/>
            </w:tcBorders>
            <w:vAlign w:val="center"/>
          </w:tcPr>
          <w:p w14:paraId="41257A51">
            <w:pPr>
              <w:autoSpaceDE w:val="0"/>
              <w:autoSpaceDN w:val="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进度付款证书最低限额 ：</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万元</w:t>
            </w:r>
          </w:p>
        </w:tc>
      </w:tr>
      <w:tr w14:paraId="4FC48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AEB3AD6">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w:t>
            </w:r>
          </w:p>
        </w:tc>
        <w:tc>
          <w:tcPr>
            <w:tcW w:w="1565" w:type="dxa"/>
            <w:tcBorders>
              <w:tl2br w:val="nil"/>
              <w:tr2bl w:val="nil"/>
            </w:tcBorders>
            <w:vAlign w:val="center"/>
          </w:tcPr>
          <w:p w14:paraId="6F7DC70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17.3.3（2）</w:t>
            </w:r>
          </w:p>
        </w:tc>
        <w:tc>
          <w:tcPr>
            <w:tcW w:w="7475" w:type="dxa"/>
            <w:tcBorders>
              <w:tl2br w:val="nil"/>
              <w:tr2bl w:val="nil"/>
            </w:tcBorders>
            <w:vAlign w:val="center"/>
          </w:tcPr>
          <w:p w14:paraId="268C5D4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逾期付款违约金的利率：</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‰/天</w:t>
            </w:r>
          </w:p>
        </w:tc>
      </w:tr>
      <w:tr w14:paraId="225AE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35966A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w:t>
            </w:r>
          </w:p>
        </w:tc>
        <w:tc>
          <w:tcPr>
            <w:tcW w:w="1565" w:type="dxa"/>
            <w:tcBorders>
              <w:tl2br w:val="nil"/>
              <w:tr2bl w:val="nil"/>
            </w:tcBorders>
            <w:vAlign w:val="center"/>
          </w:tcPr>
          <w:p w14:paraId="244DF1A2">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17.4.1</w:t>
            </w:r>
          </w:p>
        </w:tc>
        <w:tc>
          <w:tcPr>
            <w:tcW w:w="7475" w:type="dxa"/>
            <w:tcBorders>
              <w:tl2br w:val="nil"/>
              <w:tr2bl w:val="nil"/>
            </w:tcBorders>
            <w:vAlign w:val="center"/>
          </w:tcPr>
          <w:p w14:paraId="78C0B29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质量保证金金额：</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合同价格 ，若交工验收时承包人具备被招标项目所在地省级交通运输主管部门评定的最高信用等级，发包人给予</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%合同价格质量保证金的优惠。</w:t>
            </w:r>
          </w:p>
          <w:p w14:paraId="4345CDE9">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t>质量保证金是否计付利息：否</w:t>
            </w:r>
          </w:p>
        </w:tc>
      </w:tr>
      <w:tr w14:paraId="206F8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7B4906E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21</w:t>
            </w:r>
          </w:p>
        </w:tc>
        <w:tc>
          <w:tcPr>
            <w:tcW w:w="1565" w:type="dxa"/>
            <w:tcBorders>
              <w:tl2br w:val="nil"/>
              <w:tr2bl w:val="nil"/>
            </w:tcBorders>
            <w:vAlign w:val="center"/>
          </w:tcPr>
          <w:p w14:paraId="7FE6CB86">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17.5.1（1）</w:t>
            </w:r>
          </w:p>
        </w:tc>
        <w:tc>
          <w:tcPr>
            <w:tcW w:w="7475" w:type="dxa"/>
            <w:tcBorders>
              <w:tl2br w:val="nil"/>
              <w:tr2bl w:val="nil"/>
            </w:tcBorders>
            <w:vAlign w:val="center"/>
          </w:tcPr>
          <w:p w14:paraId="64EF4B0F">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承包人向监理人提交交工付款申请单（包括相关证明材料）的份数：5 份</w:t>
            </w:r>
          </w:p>
        </w:tc>
      </w:tr>
      <w:tr w14:paraId="46AA80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7C33496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22</w:t>
            </w:r>
          </w:p>
        </w:tc>
        <w:tc>
          <w:tcPr>
            <w:tcW w:w="1565" w:type="dxa"/>
            <w:tcBorders>
              <w:tl2br w:val="nil"/>
              <w:tr2bl w:val="nil"/>
            </w:tcBorders>
            <w:vAlign w:val="center"/>
          </w:tcPr>
          <w:p w14:paraId="20E644F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17.6.1（1）</w:t>
            </w:r>
          </w:p>
        </w:tc>
        <w:tc>
          <w:tcPr>
            <w:tcW w:w="7475" w:type="dxa"/>
            <w:tcBorders>
              <w:tl2br w:val="nil"/>
              <w:tr2bl w:val="nil"/>
            </w:tcBorders>
            <w:vAlign w:val="center"/>
          </w:tcPr>
          <w:p w14:paraId="3A004E3D">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承包人向监理人提交最终结清申请单（包括相关证明材料）的份数：5 份</w:t>
            </w:r>
          </w:p>
        </w:tc>
      </w:tr>
      <w:tr w14:paraId="6A9D1B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15CACB2E">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23</w:t>
            </w:r>
          </w:p>
        </w:tc>
        <w:tc>
          <w:tcPr>
            <w:tcW w:w="1565" w:type="dxa"/>
            <w:tcBorders>
              <w:tl2br w:val="nil"/>
              <w:tr2bl w:val="nil"/>
            </w:tcBorders>
            <w:vAlign w:val="center"/>
          </w:tcPr>
          <w:p w14:paraId="1529270D">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18.2（2）</w:t>
            </w:r>
          </w:p>
        </w:tc>
        <w:tc>
          <w:tcPr>
            <w:tcW w:w="7475" w:type="dxa"/>
            <w:tcBorders>
              <w:tl2br w:val="nil"/>
              <w:tr2bl w:val="nil"/>
            </w:tcBorders>
            <w:vAlign w:val="center"/>
          </w:tcPr>
          <w:p w14:paraId="0FC8F299">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竣工资料的份数：5份</w:t>
            </w:r>
          </w:p>
        </w:tc>
      </w:tr>
      <w:tr w14:paraId="6C8355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577DBA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24</w:t>
            </w:r>
          </w:p>
        </w:tc>
        <w:tc>
          <w:tcPr>
            <w:tcW w:w="1565" w:type="dxa"/>
            <w:tcBorders>
              <w:tl2br w:val="nil"/>
              <w:tr2bl w:val="nil"/>
            </w:tcBorders>
            <w:vAlign w:val="center"/>
          </w:tcPr>
          <w:p w14:paraId="003CDE9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18.5.1</w:t>
            </w:r>
          </w:p>
        </w:tc>
        <w:tc>
          <w:tcPr>
            <w:tcW w:w="7475" w:type="dxa"/>
            <w:tcBorders>
              <w:tl2br w:val="nil"/>
              <w:tr2bl w:val="nil"/>
            </w:tcBorders>
            <w:vAlign w:val="center"/>
          </w:tcPr>
          <w:p w14:paraId="44D1E74E">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单位工程或工程设备是否需投入施工期运行：否</w:t>
            </w:r>
          </w:p>
        </w:tc>
      </w:tr>
      <w:tr w14:paraId="30B815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65D34139">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25</w:t>
            </w:r>
          </w:p>
        </w:tc>
        <w:tc>
          <w:tcPr>
            <w:tcW w:w="1565" w:type="dxa"/>
            <w:tcBorders>
              <w:tl2br w:val="nil"/>
              <w:tr2bl w:val="nil"/>
            </w:tcBorders>
            <w:vAlign w:val="center"/>
          </w:tcPr>
          <w:p w14:paraId="185C30BA">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18.6.1</w:t>
            </w:r>
          </w:p>
        </w:tc>
        <w:tc>
          <w:tcPr>
            <w:tcW w:w="7475" w:type="dxa"/>
            <w:tcBorders>
              <w:tl2br w:val="nil"/>
              <w:tr2bl w:val="nil"/>
            </w:tcBorders>
            <w:vAlign w:val="center"/>
          </w:tcPr>
          <w:p w14:paraId="75441353">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本工程及工程设备是否进行试运行：否</w:t>
            </w:r>
          </w:p>
        </w:tc>
      </w:tr>
      <w:tr w14:paraId="006A1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4E113BC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26</w:t>
            </w:r>
          </w:p>
        </w:tc>
        <w:tc>
          <w:tcPr>
            <w:tcW w:w="1565" w:type="dxa"/>
            <w:tcBorders>
              <w:tl2br w:val="nil"/>
              <w:tr2bl w:val="nil"/>
            </w:tcBorders>
            <w:vAlign w:val="center"/>
          </w:tcPr>
          <w:p w14:paraId="1799CA60">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19.7（1）</w:t>
            </w:r>
          </w:p>
        </w:tc>
        <w:tc>
          <w:tcPr>
            <w:tcW w:w="7475" w:type="dxa"/>
            <w:tcBorders>
              <w:tl2br w:val="nil"/>
              <w:tr2bl w:val="nil"/>
            </w:tcBorders>
            <w:vAlign w:val="center"/>
          </w:tcPr>
          <w:p w14:paraId="2FF60A4D">
            <w:pPr>
              <w:autoSpaceDE w:val="0"/>
              <w:autoSpaceDN w:val="0"/>
              <w:snapToGrid w:val="0"/>
              <w:spacing w:line="276" w:lineRule="auto"/>
              <w:jc w:val="left"/>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保修期</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：自实际交工日期起计算</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5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w:t>
            </w:r>
          </w:p>
        </w:tc>
      </w:tr>
      <w:tr w14:paraId="323130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22860A23">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27</w:t>
            </w:r>
          </w:p>
        </w:tc>
        <w:tc>
          <w:tcPr>
            <w:tcW w:w="1565" w:type="dxa"/>
            <w:tcBorders>
              <w:tl2br w:val="nil"/>
              <w:tr2bl w:val="nil"/>
            </w:tcBorders>
            <w:vAlign w:val="center"/>
          </w:tcPr>
          <w:p w14:paraId="6E2309E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20.1</w:t>
            </w:r>
          </w:p>
        </w:tc>
        <w:tc>
          <w:tcPr>
            <w:tcW w:w="7475" w:type="dxa"/>
            <w:tcBorders>
              <w:tl2br w:val="nil"/>
              <w:tr2bl w:val="nil"/>
            </w:tcBorders>
            <w:vAlign w:val="center"/>
          </w:tcPr>
          <w:p w14:paraId="7FA05A90">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建筑工程一切险按第</w:t>
            </w:r>
            <w:r>
              <w:rPr>
                <w:rFonts w:hint="eastAsia" w:ascii="宋体" w:hAnsi="宋体" w:cs="宋体"/>
                <w:color w:val="0D0D0D" w:themeColor="text1" w:themeTint="F2"/>
                <w:sz w:val="22"/>
                <w:lang w:val="en-US" w:eastAsia="zh-CN"/>
                <w14:textFill>
                  <w14:solidFill>
                    <w14:schemeClr w14:val="tx1">
                      <w14:lumMod w14:val="95000"/>
                      <w14:lumOff w14:val="5000"/>
                    </w14:schemeClr>
                  </w14:solidFill>
                </w14:textFill>
              </w:rPr>
              <w:t>1</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00章至第700章合计的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0.3</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%计取；</w:t>
            </w:r>
          </w:p>
        </w:tc>
      </w:tr>
      <w:tr w14:paraId="65D3E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1" w:type="dxa"/>
            <w:tcBorders>
              <w:tl2br w:val="nil"/>
              <w:tr2bl w:val="nil"/>
            </w:tcBorders>
            <w:vAlign w:val="center"/>
          </w:tcPr>
          <w:p w14:paraId="0F498DB5">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28</w:t>
            </w:r>
          </w:p>
        </w:tc>
        <w:tc>
          <w:tcPr>
            <w:tcW w:w="1565" w:type="dxa"/>
            <w:tcBorders>
              <w:tl2br w:val="nil"/>
              <w:tr2bl w:val="nil"/>
            </w:tcBorders>
            <w:vAlign w:val="center"/>
          </w:tcPr>
          <w:p w14:paraId="3AB5700C">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20.4.2</w:t>
            </w:r>
          </w:p>
        </w:tc>
        <w:tc>
          <w:tcPr>
            <w:tcW w:w="7475" w:type="dxa"/>
            <w:tcBorders>
              <w:tl2br w:val="nil"/>
              <w:tr2bl w:val="nil"/>
            </w:tcBorders>
            <w:vAlign w:val="center"/>
          </w:tcPr>
          <w:p w14:paraId="79D71B71">
            <w:pPr>
              <w:autoSpaceDE w:val="0"/>
              <w:autoSpaceDN w:val="0"/>
              <w:snapToGrid w:val="0"/>
              <w:spacing w:line="276" w:lineRule="auto"/>
              <w:jc w:val="left"/>
              <w:rPr>
                <w:rFonts w:hint="eastAsia" w:ascii="宋体" w:hAnsi="宋体" w:eastAsia="宋体" w:cs="宋体"/>
                <w:color w:val="0D0D0D" w:themeColor="text1" w:themeTint="F2"/>
                <w:sz w:val="22"/>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第三者责任险按第</w:t>
            </w:r>
            <w:r>
              <w:rPr>
                <w:rFonts w:hint="eastAsia" w:ascii="宋体" w:hAnsi="宋体" w:cs="宋体"/>
                <w:color w:val="0D0D0D" w:themeColor="text1" w:themeTint="F2"/>
                <w:sz w:val="22"/>
                <w:lang w:val="en-US" w:eastAsia="zh-CN"/>
                <w14:textFill>
                  <w14:solidFill>
                    <w14:schemeClr w14:val="tx1">
                      <w14:lumMod w14:val="95000"/>
                      <w14:lumOff w14:val="5000"/>
                    </w14:schemeClr>
                  </w14:solidFill>
                </w14:textFill>
              </w:rPr>
              <w:t>1</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00章至第700章合计的</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0.1</w:t>
            </w:r>
            <w:r>
              <w:rPr>
                <w:rFonts w:hint="eastAsia" w:ascii="宋体" w:hAnsi="宋体" w:eastAsia="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%计取；</w:t>
            </w:r>
          </w:p>
        </w:tc>
      </w:tr>
      <w:tr w14:paraId="13375C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l2br w:val="nil"/>
              <w:tr2bl w:val="nil"/>
            </w:tcBorders>
            <w:vAlign w:val="center"/>
          </w:tcPr>
          <w:p w14:paraId="21B15D71">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29</w:t>
            </w:r>
          </w:p>
        </w:tc>
        <w:tc>
          <w:tcPr>
            <w:tcW w:w="1565" w:type="dxa"/>
            <w:tcBorders>
              <w:tl2br w:val="nil"/>
              <w:tr2bl w:val="nil"/>
            </w:tcBorders>
            <w:vAlign w:val="center"/>
          </w:tcPr>
          <w:p w14:paraId="428ACB87">
            <w:pPr>
              <w:autoSpaceDE w:val="0"/>
              <w:autoSpaceDN w:val="0"/>
              <w:snapToGrid w:val="0"/>
              <w:spacing w:line="276" w:lineRule="auto"/>
              <w:jc w:val="center"/>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24.1</w:t>
            </w:r>
          </w:p>
        </w:tc>
        <w:tc>
          <w:tcPr>
            <w:tcW w:w="7475" w:type="dxa"/>
            <w:tcBorders>
              <w:tl2br w:val="nil"/>
              <w:tr2bl w:val="nil"/>
            </w:tcBorders>
            <w:vAlign w:val="center"/>
          </w:tcPr>
          <w:p w14:paraId="196078ED">
            <w:pPr>
              <w:autoSpaceDE w:val="0"/>
              <w:autoSpaceDN w:val="0"/>
              <w:snapToGrid w:val="0"/>
              <w:spacing w:line="276" w:lineRule="auto"/>
              <w:jc w:val="left"/>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争议的最终解决方式：</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w:t>
            </w:r>
          </w:p>
          <w:p w14:paraId="289E5CB2">
            <w:pPr>
              <w:autoSpaceDE w:val="0"/>
              <w:autoSpaceDN w:val="0"/>
              <w:snapToGrid w:val="0"/>
              <w:spacing w:line="276" w:lineRule="auto"/>
              <w:jc w:val="left"/>
              <w:rPr>
                <w:rFonts w:hint="eastAsia" w:ascii="宋体" w:hAnsi="宋体" w:eastAsia="宋体" w:cs="宋体"/>
                <w:color w:val="0D0D0D" w:themeColor="text1" w:themeTint="F2"/>
                <w:sz w:val="22"/>
                <w:lang w:eastAsia="zh-CN"/>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如采用</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w:t>
            </w: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highlight w:val="none"/>
                <w:lang w:val="en-US" w:eastAsia="zh-CN"/>
                <w14:textFill>
                  <w14:solidFill>
                    <w14:schemeClr w14:val="tx1">
                      <w14:lumMod w14:val="95000"/>
                      <w14:lumOff w14:val="5000"/>
                    </w14:schemeClr>
                  </w14:solidFill>
                </w14:textFill>
              </w:rPr>
              <w:t>诉讼单位</w:t>
            </w:r>
            <w:r>
              <w:rPr>
                <w:rFonts w:hint="eastAsia" w:ascii="宋体" w:hAnsi="宋体" w:eastAsia="宋体" w:cs="宋体"/>
                <w:color w:val="0D0D0D" w:themeColor="text1" w:themeTint="F2"/>
                <w:sz w:val="20"/>
                <w:highlight w:val="none"/>
                <w14:textFill>
                  <w14:solidFill>
                    <w14:schemeClr w14:val="tx1">
                      <w14:lumMod w14:val="95000"/>
                      <w14:lumOff w14:val="5000"/>
                    </w14:schemeClr>
                  </w14:solidFill>
                </w14:textFill>
              </w:rPr>
              <w:t>：</w:t>
            </w:r>
            <w:r>
              <w:rPr>
                <w:rFonts w:hint="eastAsia" w:ascii="宋体" w:hAnsi="宋体" w:eastAsia="宋体" w:cs="宋体"/>
                <w:color w:val="0D0D0D" w:themeColor="text1" w:themeTint="F2"/>
                <w:sz w:val="22"/>
                <w:highlight w:val="none"/>
                <w14:textFill>
                  <w14:solidFill>
                    <w14:schemeClr w14:val="tx1">
                      <w14:lumMod w14:val="95000"/>
                      <w14:lumOff w14:val="5000"/>
                    </w14:schemeClr>
                  </w14:solidFill>
                </w14:textFill>
              </w:rPr>
              <w:t xml:space="preserve"> 汉中市仲裁委员会</w:t>
            </w:r>
          </w:p>
        </w:tc>
      </w:tr>
    </w:tbl>
    <w:p w14:paraId="3341332C">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178472F1">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2A7C3B16">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01F5769A">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0FC6AF44">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p>
    <w:p w14:paraId="416AEC58">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231BEA9">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A3029A0">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5728AB2">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F3551FD">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DC4F99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E94AB10">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23FB6BC">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D2276A9">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3BF61AE">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58062FB">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41599DF">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251BA81">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623B377">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B17BFC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3366034">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89456F6">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AB66095">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CFC497D">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606DE6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E9F32FB">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B89098B">
      <w:pPr>
        <w:pStyle w:val="11"/>
        <w:widowControl w:val="0"/>
        <w:tabs>
          <w:tab w:val="left" w:pos="1901"/>
        </w:tabs>
        <w:autoSpaceDE w:val="0"/>
        <w:autoSpaceDN w:val="0"/>
        <w:spacing w:after="0"/>
        <w:ind w:left="0" w:firstLine="442" w:firstLineChars="200"/>
        <w:jc w:val="center"/>
        <w:rPr>
          <w:rFonts w:hint="eastAsia" w:ascii="宋体" w:hAnsi="宋体" w:eastAsia="宋体" w:cs="宋体"/>
          <w:b/>
          <w:color w:val="0D0D0D" w:themeColor="text1" w:themeTint="F2"/>
          <w:szCs w:val="24"/>
          <w:lang w:val="zh-CN"/>
          <w14:textFill>
            <w14:solidFill>
              <w14:schemeClr w14:val="tx1">
                <w14:lumMod w14:val="95000"/>
                <w14:lumOff w14:val="5000"/>
              </w14:schemeClr>
            </w14:solidFill>
          </w14:textFill>
        </w:rPr>
      </w:pPr>
      <w:bookmarkStart w:id="512" w:name="_Toc7313"/>
      <w:bookmarkStart w:id="513" w:name="_Toc120442980"/>
      <w:bookmarkStart w:id="514" w:name="_Toc139463524"/>
      <w:bookmarkStart w:id="515" w:name="_Toc139462725"/>
      <w:bookmarkStart w:id="516" w:name="_Toc139464289"/>
      <w:r>
        <w:rPr>
          <w:rFonts w:hint="eastAsia" w:ascii="宋体" w:hAnsi="宋体" w:eastAsia="宋体" w:cs="宋体"/>
          <w:b/>
          <w:color w:val="0D0D0D" w:themeColor="text1" w:themeTint="F2"/>
          <w:szCs w:val="24"/>
          <w:lang w:val="zh-CN"/>
          <w14:textFill>
            <w14:solidFill>
              <w14:schemeClr w14:val="tx1">
                <w14:lumMod w14:val="95000"/>
                <w14:lumOff w14:val="5000"/>
              </w14:schemeClr>
            </w14:solidFill>
          </w14:textFill>
        </w:rPr>
        <w:t>项目专用合同条款</w:t>
      </w:r>
      <w:bookmarkEnd w:id="512"/>
    </w:p>
    <w:p w14:paraId="6CC62AA4">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说明：本部分所列的项目专用合同条款是对“公路工程专用合同条款”中规定必须在项目专用合同条款中明确的内容的集中，招标人编制的“项目专用合同条款” 不限于本部分所列内容。</w:t>
      </w:r>
    </w:p>
    <w:p w14:paraId="68EFF8C3">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4.1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承包人的一般义务</w:t>
      </w:r>
    </w:p>
    <w:p w14:paraId="071397FF">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4.1.10 其他义务</w:t>
      </w:r>
    </w:p>
    <w:p w14:paraId="360DE9C5">
      <w:pPr>
        <w:tabs>
          <w:tab w:val="left" w:pos="7111"/>
        </w:tabs>
        <w:autoSpaceDE w:val="0"/>
        <w:autoSpaceDN w:val="0"/>
        <w:snapToGrid w:val="0"/>
        <w:ind w:firstLine="440" w:firstLineChars="200"/>
        <w:jc w:val="left"/>
        <w:rPr>
          <w:rFonts w:hint="eastAsia" w:ascii="宋体" w:hAnsi="宋体" w:eastAsia="宋体" w:cs="宋体"/>
          <w:color w:val="000000"/>
          <w:kern w:val="0"/>
          <w:sz w:val="22"/>
          <w:szCs w:val="22"/>
          <w:lang w:val="zh-CN" w:eastAsia="zh-CN"/>
        </w:rPr>
      </w:pPr>
      <w:r>
        <w:rPr>
          <w:rFonts w:hint="eastAsia" w:ascii="宋体" w:hAnsi="宋体" w:eastAsia="宋体" w:cs="宋体"/>
          <w:color w:val="000000"/>
          <w:kern w:val="0"/>
          <w:sz w:val="22"/>
          <w:szCs w:val="22"/>
          <w:lang w:val="zh-CN"/>
        </w:rPr>
        <w:t>（4）承包人应履行的其他义务：</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none"/>
          <w:lang w:eastAsia="zh-CN"/>
        </w:rPr>
        <w:t>。</w:t>
      </w:r>
    </w:p>
    <w:p w14:paraId="1AFA33E1">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7" w:name="_bookmark261"/>
      <w:bookmarkEnd w:id="517"/>
      <w:r>
        <w:rPr>
          <w:rFonts w:hint="eastAsia" w:ascii="宋体" w:hAnsi="宋体" w:eastAsia="宋体" w:cs="宋体"/>
          <w:color w:val="000000"/>
          <w:kern w:val="0"/>
          <w:sz w:val="22"/>
          <w:szCs w:val="22"/>
          <w:lang w:val="zh-CN"/>
        </w:rPr>
        <w:t>4.11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不利物质条件</w:t>
      </w:r>
    </w:p>
    <w:p w14:paraId="5DB2E53A">
      <w:pPr>
        <w:tabs>
          <w:tab w:val="left" w:pos="6830"/>
        </w:tabs>
        <w:autoSpaceDE w:val="0"/>
        <w:autoSpaceDN w:val="0"/>
        <w:snapToGrid w:val="0"/>
        <w:ind w:firstLine="440" w:firstLineChars="200"/>
        <w:jc w:val="left"/>
        <w:rPr>
          <w:rFonts w:hint="eastAsia" w:ascii="宋体" w:hAnsi="宋体" w:eastAsia="宋体" w:cs="宋体"/>
          <w:color w:val="000000"/>
          <w:kern w:val="0"/>
          <w:sz w:val="22"/>
          <w:szCs w:val="22"/>
          <w:u w:val="single"/>
        </w:rPr>
      </w:pPr>
      <w:r>
        <w:rPr>
          <w:rFonts w:hint="eastAsia" w:ascii="宋体" w:hAnsi="宋体" w:eastAsia="宋体" w:cs="宋体"/>
          <w:color w:val="000000"/>
          <w:kern w:val="0"/>
          <w:sz w:val="22"/>
          <w:szCs w:val="22"/>
          <w:lang w:val="zh-CN"/>
        </w:rPr>
        <w:t>4.11.1</w:t>
      </w:r>
      <w:r>
        <w:rPr>
          <w:rFonts w:hint="eastAsia" w:ascii="宋体" w:hAnsi="宋体" w:eastAsia="宋体" w:cs="宋体"/>
          <w:color w:val="000000"/>
          <w:spacing w:val="50"/>
          <w:kern w:val="0"/>
          <w:sz w:val="22"/>
          <w:szCs w:val="22"/>
          <w:lang w:val="zh-CN"/>
        </w:rPr>
        <w:t xml:space="preserve"> </w:t>
      </w:r>
      <w:r>
        <w:rPr>
          <w:rFonts w:hint="eastAsia" w:ascii="宋体" w:hAnsi="宋体" w:eastAsia="宋体" w:cs="宋体"/>
          <w:color w:val="000000"/>
          <w:kern w:val="0"/>
          <w:sz w:val="22"/>
          <w:szCs w:val="22"/>
          <w:lang w:val="zh-CN"/>
        </w:rPr>
        <w:t>不利物质条件的范围：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w:t>
      </w:r>
    </w:p>
    <w:p w14:paraId="3075FA08">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8" w:name="_bookmark262"/>
      <w:bookmarkEnd w:id="518"/>
      <w:r>
        <w:rPr>
          <w:rFonts w:hint="eastAsia" w:ascii="宋体" w:hAnsi="宋体" w:eastAsia="宋体" w:cs="宋体"/>
          <w:color w:val="000000"/>
          <w:kern w:val="0"/>
          <w:sz w:val="22"/>
          <w:szCs w:val="22"/>
          <w:lang w:val="zh-CN"/>
        </w:rPr>
        <w:t>10.1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合同进度计划</w:t>
      </w:r>
    </w:p>
    <w:p w14:paraId="1AC2BF67">
      <w:pPr>
        <w:tabs>
          <w:tab w:val="left" w:pos="576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承包人编制施工方案的内容：</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按照招标人要求，根据实际情况编制可行方案</w:t>
      </w:r>
      <w:r>
        <w:rPr>
          <w:rFonts w:hint="eastAsia" w:ascii="宋体" w:hAnsi="宋体" w:eastAsia="宋体" w:cs="宋体"/>
          <w:color w:val="000000"/>
          <w:kern w:val="0"/>
          <w:sz w:val="22"/>
          <w:szCs w:val="22"/>
        </w:rPr>
        <w:t>。</w:t>
      </w:r>
    </w:p>
    <w:p w14:paraId="46D0D227">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19" w:name="_bookmark263"/>
      <w:bookmarkEnd w:id="519"/>
      <w:r>
        <w:rPr>
          <w:rFonts w:hint="eastAsia" w:ascii="宋体" w:hAnsi="宋体" w:eastAsia="宋体" w:cs="宋体"/>
          <w:color w:val="000000"/>
          <w:kern w:val="0"/>
          <w:sz w:val="22"/>
          <w:szCs w:val="22"/>
          <w:lang w:val="zh-CN"/>
        </w:rPr>
        <w:t>11.4 异常恶劣的气候条件</w:t>
      </w:r>
    </w:p>
    <w:p w14:paraId="6100A469">
      <w:pPr>
        <w:tabs>
          <w:tab w:val="left" w:pos="5760"/>
        </w:tabs>
        <w:autoSpaceDE w:val="0"/>
        <w:autoSpaceDN w:val="0"/>
        <w:snapToGrid w:val="0"/>
        <w:ind w:firstLine="440" w:firstLineChars="20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zh-CN"/>
        </w:rPr>
        <w:t>异常恶劣的气候条件的范围：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w:t>
      </w:r>
    </w:p>
    <w:p w14:paraId="01B5A53D">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0" w:name="_bookmark264"/>
      <w:bookmarkEnd w:id="520"/>
      <w:r>
        <w:rPr>
          <w:rFonts w:hint="eastAsia" w:ascii="宋体" w:hAnsi="宋体" w:eastAsia="宋体" w:cs="宋体"/>
          <w:color w:val="000000"/>
          <w:kern w:val="0"/>
          <w:sz w:val="22"/>
          <w:szCs w:val="22"/>
          <w:lang w:val="zh-CN"/>
        </w:rPr>
        <w:t>12.1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承包人暂停施工的责任</w:t>
      </w:r>
    </w:p>
    <w:p w14:paraId="2938E19E">
      <w:pPr>
        <w:tabs>
          <w:tab w:val="left" w:pos="8220"/>
        </w:tabs>
        <w:autoSpaceDE w:val="0"/>
        <w:autoSpaceDN w:val="0"/>
        <w:snapToGrid w:val="0"/>
        <w:ind w:firstLine="440" w:firstLineChars="200"/>
        <w:jc w:val="left"/>
        <w:rPr>
          <w:rFonts w:hint="eastAsia" w:ascii="宋体" w:hAnsi="宋体" w:eastAsia="宋体" w:cs="宋体"/>
          <w:color w:val="000000"/>
          <w:kern w:val="0"/>
          <w:sz w:val="22"/>
          <w:szCs w:val="22"/>
          <w:u w:val="single"/>
        </w:rPr>
      </w:pPr>
      <w:r>
        <w:rPr>
          <w:rFonts w:hint="eastAsia" w:ascii="宋体" w:hAnsi="宋体" w:eastAsia="宋体" w:cs="宋体"/>
          <w:color w:val="000000"/>
          <w:kern w:val="0"/>
          <w:sz w:val="22"/>
          <w:szCs w:val="22"/>
          <w:lang w:val="zh-CN"/>
        </w:rPr>
        <w:t>12.1 （6）由承包人承担的其他暂停施工：</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u w:val="single"/>
        </w:rPr>
        <w:t xml:space="preserve"> </w:t>
      </w:r>
      <w:r>
        <w:rPr>
          <w:rFonts w:hint="eastAsia" w:ascii="宋体" w:hAnsi="宋体" w:eastAsia="宋体" w:cs="宋体"/>
          <w:color w:val="000000"/>
          <w:kern w:val="0"/>
          <w:sz w:val="22"/>
          <w:szCs w:val="22"/>
        </w:rPr>
        <w:t xml:space="preserve">。  </w:t>
      </w:r>
    </w:p>
    <w:p w14:paraId="26D38C3E">
      <w:pPr>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17.1</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计量</w:t>
      </w:r>
    </w:p>
    <w:p w14:paraId="60FE4594">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17.1.5 本项目工程量清单中总额价子目的支付原则和支付进度：</w:t>
      </w:r>
      <w:r>
        <w:rPr>
          <w:rFonts w:hint="eastAsia" w:ascii="宋体" w:hAnsi="宋体" w:eastAsia="宋体" w:cs="宋体"/>
          <w:color w:val="000000"/>
          <w:kern w:val="0"/>
          <w:sz w:val="22"/>
          <w:szCs w:val="22"/>
          <w:u w:val="single"/>
        </w:rPr>
        <w:t>按月进行计量，建设单位与审计部门沟通后确定。</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u w:val="single"/>
        </w:rPr>
        <w:t xml:space="preserve">       </w:t>
      </w:r>
    </w:p>
    <w:p w14:paraId="6B5C71B6">
      <w:pPr>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1" w:name="_bookmark265"/>
      <w:bookmarkEnd w:id="521"/>
      <w:r>
        <w:rPr>
          <w:rFonts w:hint="eastAsia" w:ascii="宋体" w:hAnsi="宋体" w:eastAsia="宋体" w:cs="宋体"/>
          <w:color w:val="000000"/>
          <w:kern w:val="0"/>
          <w:sz w:val="22"/>
          <w:szCs w:val="22"/>
          <w:lang w:val="zh-CN"/>
        </w:rPr>
        <w:t>17.3</w:t>
      </w:r>
      <w:r>
        <w:rPr>
          <w:rFonts w:hint="eastAsia" w:ascii="宋体" w:hAnsi="宋体" w:eastAsia="宋体" w:cs="宋体"/>
          <w:color w:val="000000"/>
          <w:spacing w:val="58"/>
          <w:kern w:val="0"/>
          <w:sz w:val="22"/>
          <w:szCs w:val="22"/>
          <w:lang w:val="zh-CN"/>
        </w:rPr>
        <w:t xml:space="preserve"> </w:t>
      </w:r>
      <w:r>
        <w:rPr>
          <w:rFonts w:hint="eastAsia" w:ascii="宋体" w:hAnsi="宋体" w:eastAsia="宋体" w:cs="宋体"/>
          <w:color w:val="000000"/>
          <w:kern w:val="0"/>
          <w:sz w:val="22"/>
          <w:szCs w:val="22"/>
          <w:lang w:val="zh-CN"/>
        </w:rPr>
        <w:t>工程进度付款</w:t>
      </w:r>
    </w:p>
    <w:p w14:paraId="28C9A4C5">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u w:val="single"/>
          <w:lang w:val="zh-CN"/>
        </w:rPr>
      </w:pPr>
      <w:r>
        <w:rPr>
          <w:rFonts w:hint="eastAsia" w:ascii="宋体" w:hAnsi="宋体" w:eastAsia="宋体" w:cs="宋体"/>
          <w:color w:val="000000"/>
          <w:kern w:val="0"/>
          <w:sz w:val="22"/>
          <w:szCs w:val="22"/>
          <w:lang w:val="zh-CN"/>
        </w:rPr>
        <w:t>17.3.5  农民工工资保证金的缴存时间：</w:t>
      </w:r>
      <w:r>
        <w:rPr>
          <w:rFonts w:hint="eastAsia" w:ascii="宋体" w:hAnsi="宋体" w:eastAsia="宋体" w:cs="宋体"/>
          <w:color w:val="000000"/>
          <w:kern w:val="0"/>
          <w:sz w:val="22"/>
          <w:szCs w:val="22"/>
          <w:u w:val="single"/>
          <w:lang w:val="zh-CN"/>
        </w:rPr>
        <w:t xml:space="preserve">                         </w:t>
      </w:r>
    </w:p>
    <w:p w14:paraId="16623637">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农民工工资保证金的缴存金额：</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78D7E91E">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农民工工资保证金的扣留条件：</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6313AA60">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农民工工资保证金的返还时间：</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10D2F7E8">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21.1  不可抗力的确认</w:t>
      </w:r>
    </w:p>
    <w:p w14:paraId="5C9DEA76">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21.1.1  （6）不可抗力的其他情形：</w:t>
      </w:r>
      <w:r>
        <w:rPr>
          <w:rFonts w:hint="eastAsia" w:ascii="宋体" w:hAnsi="宋体" w:eastAsia="宋体" w:cs="宋体"/>
          <w:color w:val="000000"/>
          <w:kern w:val="0"/>
          <w:sz w:val="22"/>
          <w:szCs w:val="22"/>
          <w:u w:val="single"/>
          <w:lang w:val="zh-CN"/>
        </w:rPr>
        <w:t xml:space="preserve">                       </w:t>
      </w:r>
      <w:r>
        <w:rPr>
          <w:rFonts w:hint="eastAsia" w:ascii="宋体" w:hAnsi="宋体" w:eastAsia="宋体" w:cs="宋体"/>
          <w:color w:val="000000"/>
          <w:kern w:val="0"/>
          <w:sz w:val="22"/>
          <w:szCs w:val="22"/>
          <w:lang w:val="zh-CN"/>
        </w:rPr>
        <w:t xml:space="preserve">       </w:t>
      </w:r>
    </w:p>
    <w:p w14:paraId="6E9D79C9">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2" w:name="bookmark278"/>
      <w:bookmarkEnd w:id="522"/>
      <w:r>
        <w:rPr>
          <w:rFonts w:hint="eastAsia" w:ascii="宋体" w:hAnsi="宋体" w:eastAsia="宋体" w:cs="宋体"/>
          <w:color w:val="000000"/>
          <w:kern w:val="0"/>
          <w:sz w:val="22"/>
          <w:szCs w:val="22"/>
          <w:lang w:val="zh-CN"/>
        </w:rPr>
        <w:t>22.1  承包人违约</w:t>
      </w:r>
    </w:p>
    <w:p w14:paraId="654078B3">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22.1.2  当承包人发生第 22.1.1 项约定的违约情况时，发包人有权向承包人</w:t>
      </w:r>
      <w:r>
        <w:rPr>
          <w:rFonts w:hint="eastAsia" w:ascii="宋体" w:hAnsi="宋体" w:eastAsia="宋体" w:cs="宋体"/>
          <w:color w:val="000000"/>
          <w:kern w:val="0"/>
          <w:sz w:val="22"/>
          <w:szCs w:val="22"/>
          <w:lang w:val="en-US" w:eastAsia="zh-CN"/>
        </w:rPr>
        <w:t>罚</w:t>
      </w:r>
      <w:r>
        <w:rPr>
          <w:rFonts w:hint="eastAsia" w:ascii="宋体" w:hAnsi="宋体" w:eastAsia="宋体" w:cs="宋体"/>
          <w:color w:val="000000"/>
          <w:kern w:val="0"/>
          <w:sz w:val="22"/>
          <w:szCs w:val="22"/>
          <w:lang w:val="zh-CN"/>
        </w:rPr>
        <w:t>以违约金，具体约定如下：</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lang w:val="zh-CN"/>
        </w:rPr>
        <w:t xml:space="preserve">                                </w:t>
      </w:r>
    </w:p>
    <w:p w14:paraId="63CCEA4B">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bookmarkStart w:id="523" w:name="bookmark279"/>
      <w:bookmarkEnd w:id="523"/>
      <w:r>
        <w:rPr>
          <w:rFonts w:hint="eastAsia" w:ascii="宋体" w:hAnsi="宋体" w:eastAsia="宋体" w:cs="宋体"/>
          <w:color w:val="000000"/>
          <w:kern w:val="0"/>
          <w:sz w:val="22"/>
          <w:szCs w:val="22"/>
          <w:lang w:val="zh-CN"/>
        </w:rPr>
        <w:t>22.2  发包人违约</w:t>
      </w:r>
    </w:p>
    <w:p w14:paraId="5FCC8A4A">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r>
        <w:rPr>
          <w:rFonts w:hint="eastAsia" w:ascii="宋体" w:hAnsi="宋体" w:eastAsia="宋体" w:cs="宋体"/>
          <w:color w:val="000000"/>
          <w:kern w:val="0"/>
          <w:sz w:val="22"/>
          <w:szCs w:val="22"/>
          <w:lang w:val="zh-CN"/>
        </w:rPr>
        <w:t>22.2.2  发包人无正当理由不按时返还履约保证金、质量保证金或农民工工资保 证金的，发包人应向承包人支付的违约金如下：</w:t>
      </w:r>
      <w:r>
        <w:rPr>
          <w:rFonts w:hint="eastAsia" w:ascii="宋体" w:hAnsi="宋体" w:eastAsia="宋体" w:cs="宋体"/>
          <w:color w:val="000000"/>
          <w:kern w:val="0"/>
          <w:sz w:val="22"/>
          <w:szCs w:val="22"/>
          <w:u w:val="single"/>
          <w:lang w:val="en-US" w:eastAsia="zh-CN"/>
        </w:rPr>
        <w:t xml:space="preserve">                      </w:t>
      </w:r>
      <w:r>
        <w:rPr>
          <w:rFonts w:hint="eastAsia" w:ascii="宋体" w:hAnsi="宋体" w:eastAsia="宋体" w:cs="宋体"/>
          <w:color w:val="000000"/>
          <w:kern w:val="0"/>
          <w:sz w:val="22"/>
          <w:szCs w:val="22"/>
          <w:lang w:val="zh-CN"/>
        </w:rPr>
        <w:t xml:space="preserve">                                </w:t>
      </w:r>
    </w:p>
    <w:p w14:paraId="2C4AF989">
      <w:pPr>
        <w:tabs>
          <w:tab w:val="left" w:pos="9120"/>
        </w:tabs>
        <w:autoSpaceDE w:val="0"/>
        <w:autoSpaceDN w:val="0"/>
        <w:snapToGrid w:val="0"/>
        <w:ind w:firstLine="440" w:firstLineChars="200"/>
        <w:jc w:val="left"/>
        <w:rPr>
          <w:rFonts w:hint="eastAsia" w:ascii="宋体" w:hAnsi="宋体" w:eastAsia="宋体" w:cs="宋体"/>
          <w:color w:val="000000"/>
          <w:kern w:val="0"/>
          <w:sz w:val="22"/>
          <w:szCs w:val="22"/>
          <w:lang w:val="zh-CN"/>
        </w:rPr>
      </w:pPr>
    </w:p>
    <w:bookmarkEnd w:id="513"/>
    <w:bookmarkEnd w:id="514"/>
    <w:bookmarkEnd w:id="515"/>
    <w:bookmarkEnd w:id="516"/>
    <w:p w14:paraId="32251048">
      <w:pPr>
        <w:widowControl/>
        <w:spacing w:after="200"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br w:type="page"/>
      </w:r>
    </w:p>
    <w:p w14:paraId="19D2911E">
      <w:pPr>
        <w:spacing w:line="276" w:lineRule="auto"/>
        <w:jc w:val="center"/>
        <w:rPr>
          <w:rFonts w:hint="eastAsia" w:ascii="宋体" w:hAnsi="宋体" w:eastAsia="宋体" w:cs="宋体"/>
          <w:b/>
          <w:color w:val="0D0D0D" w:themeColor="text1" w:themeTint="F2"/>
          <w:sz w:val="22"/>
          <w14:textFill>
            <w14:solidFill>
              <w14:schemeClr w14:val="tx1">
                <w14:lumMod w14:val="95000"/>
                <w14:lumOff w14:val="5000"/>
              </w14:schemeClr>
            </w14:solidFill>
          </w14:textFill>
        </w:rPr>
      </w:pPr>
      <w:bookmarkStart w:id="524" w:name="_Toc120443088"/>
      <w:bookmarkStart w:id="525" w:name="_Toc139462830"/>
      <w:bookmarkStart w:id="526" w:name="_Toc139464394"/>
      <w:bookmarkStart w:id="527" w:name="_Toc139463629"/>
      <w:r>
        <w:rPr>
          <w:rFonts w:hint="eastAsia" w:ascii="宋体" w:hAnsi="宋体" w:eastAsia="宋体" w:cs="宋体"/>
          <w:b/>
          <w:color w:val="0D0D0D" w:themeColor="text1" w:themeTint="F2"/>
          <w:sz w:val="22"/>
          <w14:textFill>
            <w14:solidFill>
              <w14:schemeClr w14:val="tx1">
                <w14:lumMod w14:val="95000"/>
                <w14:lumOff w14:val="5000"/>
              </w14:schemeClr>
            </w14:solidFill>
          </w14:textFill>
        </w:rPr>
        <w:t>第三节　合同附件格式</w:t>
      </w:r>
      <w:bookmarkEnd w:id="524"/>
      <w:bookmarkEnd w:id="525"/>
      <w:bookmarkEnd w:id="526"/>
      <w:bookmarkEnd w:id="527"/>
    </w:p>
    <w:p w14:paraId="1EA469A2">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28" w:name="_Toc508699219"/>
      <w:bookmarkStart w:id="529" w:name="_Toc139464395"/>
      <w:bookmarkStart w:id="530" w:name="_Toc139463630"/>
      <w:bookmarkStart w:id="531" w:name="_Toc492453816"/>
      <w:bookmarkStart w:id="532" w:name="_Toc508705451"/>
      <w:bookmarkStart w:id="533" w:name="_Toc152045768"/>
      <w:bookmarkStart w:id="534" w:name="_Toc139462831"/>
      <w:bookmarkStart w:id="535" w:name="_Toc144974827"/>
      <w:bookmarkStart w:id="536" w:name="_Toc179632786"/>
      <w:bookmarkStart w:id="537" w:name="_Toc120443089"/>
      <w:bookmarkStart w:id="538" w:name="_Toc152042547"/>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附件一：合同协议书</w:t>
      </w:r>
      <w:bookmarkEnd w:id="528"/>
      <w:bookmarkEnd w:id="529"/>
      <w:bookmarkEnd w:id="530"/>
      <w:bookmarkEnd w:id="531"/>
      <w:bookmarkEnd w:id="532"/>
      <w:bookmarkEnd w:id="533"/>
      <w:bookmarkEnd w:id="534"/>
      <w:bookmarkEnd w:id="535"/>
      <w:bookmarkEnd w:id="536"/>
      <w:bookmarkEnd w:id="537"/>
      <w:bookmarkEnd w:id="538"/>
    </w:p>
    <w:p w14:paraId="78F2CD55">
      <w:pPr>
        <w:spacing w:line="360" w:lineRule="auto"/>
        <w:jc w:val="center"/>
        <w:rPr>
          <w:rFonts w:hint="eastAsia" w:ascii="宋体" w:hAnsi="宋体" w:eastAsia="宋体" w:cs="宋体"/>
          <w:color w:val="0D0D0D" w:themeColor="text1" w:themeTint="F2"/>
          <w:sz w:val="28"/>
          <w14:textFill>
            <w14:solidFill>
              <w14:schemeClr w14:val="tx1">
                <w14:lumMod w14:val="95000"/>
                <w14:lumOff w14:val="5000"/>
              </w14:schemeClr>
            </w14:solidFill>
          </w14:textFill>
        </w:rPr>
      </w:pPr>
      <w:r>
        <w:rPr>
          <w:rFonts w:hint="eastAsia" w:ascii="宋体" w:hAnsi="宋体" w:eastAsia="宋体" w:cs="宋体"/>
          <w:color w:val="0D0D0D" w:themeColor="text1" w:themeTint="F2"/>
          <w:sz w:val="28"/>
          <w14:textFill>
            <w14:solidFill>
              <w14:schemeClr w14:val="tx1">
                <w14:lumMod w14:val="95000"/>
                <w14:lumOff w14:val="5000"/>
              </w14:schemeClr>
            </w14:solidFill>
          </w14:textFill>
        </w:rPr>
        <w:t>合同协议书</w:t>
      </w:r>
    </w:p>
    <w:p w14:paraId="0E1DBA9E">
      <w:pPr>
        <w:widowControl/>
        <w:spacing w:line="360" w:lineRule="auto"/>
        <w:ind w:firstLine="660" w:firstLineChars="3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（发包人名称，以下简称“发包人”）为实施</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（项目名称），已接受</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（承包人名称，以下简称“承包人”）对该项目</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施工的投标。发包人和承包人共同达成如下协议。</w:t>
      </w:r>
    </w:p>
    <w:p w14:paraId="41DFB3C5">
      <w:pPr>
        <w:widowControl/>
        <w:spacing w:line="360" w:lineRule="auto"/>
        <w:ind w:left="315" w:leftChars="150" w:firstLine="110" w:firstLineChars="5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1．项目概况：该项目</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，起止桩号为K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至K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K</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，公路等级为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，设计速度为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路面，长约</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km。</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p>
    <w:p w14:paraId="768351FC">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2. 下列文件应视为构成合同文件的组成部分：</w:t>
      </w:r>
    </w:p>
    <w:p w14:paraId="3C10C387">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（1）本协议书及各种合同附件（含评标期间和合同协商过程中的澄清文件和补充资料）；</w:t>
      </w:r>
    </w:p>
    <w:p w14:paraId="0CC7E2C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（2）中标通知书；</w:t>
      </w:r>
    </w:p>
    <w:p w14:paraId="3812697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（3）补遗书；</w:t>
      </w:r>
    </w:p>
    <w:p w14:paraId="38D21C26">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（4）投标函；</w:t>
      </w:r>
    </w:p>
    <w:p w14:paraId="4C558C6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（5）项目专用合同条款；</w:t>
      </w:r>
    </w:p>
    <w:p w14:paraId="524B10E2">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（6）公路工程专用合同条款；</w:t>
      </w:r>
    </w:p>
    <w:p w14:paraId="4FD5E11F">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（7）通用合同条款；</w:t>
      </w:r>
    </w:p>
    <w:p w14:paraId="3F8B7410">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（8）技术规范；</w:t>
      </w:r>
    </w:p>
    <w:p w14:paraId="6EA3F6B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（9）图纸；</w:t>
      </w:r>
    </w:p>
    <w:p w14:paraId="68B5464A">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（10）已标价工程量清单；</w:t>
      </w:r>
    </w:p>
    <w:p w14:paraId="18BD7423">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（11）承包人有关人员、设备投入的承诺</w:t>
      </w:r>
    </w:p>
    <w:p w14:paraId="3898045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（12）其他合同文件。</w:t>
      </w:r>
    </w:p>
    <w:p w14:paraId="52129D09">
      <w:pPr>
        <w:spacing w:line="360" w:lineRule="auto"/>
        <w:ind w:firstLine="440" w:firstLineChars="200"/>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上述合同文件互相补充和解释，如果合同文件之间存在矛盾或不一致之处，以合同约定次序在先者为准。</w:t>
      </w:r>
    </w:p>
    <w:p w14:paraId="782F257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3. 根据工程量清单所列的预计数量和单价或总额价计算的签约合同价：人民币（大写）</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元（¥</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元</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w:t>
      </w:r>
    </w:p>
    <w:p w14:paraId="532D6060">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4. 承包人项目经理：</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。承包人项目总工：</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w:t>
      </w:r>
    </w:p>
    <w:p w14:paraId="55BFB043">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5.工程质量符合</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标准。工程安全目标：</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p>
    <w:p w14:paraId="1E321DB2">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6. 承包人承诺按合同约定承担工程的实施、完成及缺陷修复。</w:t>
      </w:r>
    </w:p>
    <w:p w14:paraId="5BC4D1A8">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7. 发包人承诺按合同约定的条件、时间和方式向承包人支付合同价款。</w:t>
      </w:r>
    </w:p>
    <w:p w14:paraId="71A72BCE">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8. 承包人应按照监理人指示开工，工期为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日历天。</w:t>
      </w:r>
    </w:p>
    <w:p w14:paraId="0A25A6AC">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9. 在施工过程中因施工引起的外界纠纷由承包人自行解决。</w:t>
      </w:r>
    </w:p>
    <w:p w14:paraId="5B746EA9">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10. 本协议书在承包人提供履约担保后，由双方法定代表人或其委托代理人签署并加盖单位章后生效。全部工程完工后经竣交工验收合格、缺陷责任期满签发缺陷责任终止证书后生效。</w:t>
      </w:r>
    </w:p>
    <w:p w14:paraId="0D8F577F">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11.本协议书正本二份、副本</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份，合同双方各执正本一份，副本</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份，当正本与副本的内容不一致时，以正本为准。</w:t>
      </w:r>
    </w:p>
    <w:p w14:paraId="4BDF3888">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12.本合同未尽事宜，另行签订补充协议。补充协议是合同的组成部分。</w:t>
      </w:r>
    </w:p>
    <w:p w14:paraId="1877701F">
      <w:pPr>
        <w:widowControl/>
        <w:spacing w:line="360" w:lineRule="auto"/>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p>
    <w:p w14:paraId="2B45CA64">
      <w:pPr>
        <w:widowControl/>
        <w:spacing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承包人：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p>
    <w:p w14:paraId="1DE7C2AD">
      <w:pPr>
        <w:widowControl/>
        <w:spacing w:line="360" w:lineRule="auto"/>
        <w:ind w:firstLine="440" w:firstLineChars="200"/>
        <w:jc w:val="left"/>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法定代表人: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法定代表人: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p>
    <w:p w14:paraId="13E6FC5C">
      <w:pPr>
        <w:widowControl/>
        <w:spacing w:after="200" w:line="360" w:lineRule="auto"/>
        <w:ind w:firstLine="440" w:firstLineChars="200"/>
        <w:jc w:val="left"/>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或其委托代理人：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或其委托代理人：</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p>
    <w:p w14:paraId="7AB08480">
      <w:pPr>
        <w:widowControl/>
        <w:snapToGrid w:val="0"/>
        <w:spacing w:after="200" w:line="360"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年</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月</w:t>
      </w:r>
      <w:r>
        <w:rPr>
          <w:rFonts w:hint="eastAsia" w:ascii="宋体" w:hAnsi="宋体" w:eastAsia="宋体" w:cs="宋体"/>
          <w:color w:val="0D0D0D" w:themeColor="text1" w:themeTint="F2"/>
          <w:kern w:val="96"/>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96"/>
          <w:sz w:val="22"/>
          <w:szCs w:val="21"/>
          <w14:textFill>
            <w14:solidFill>
              <w14:schemeClr w14:val="tx1">
                <w14:lumMod w14:val="95000"/>
                <w14:lumOff w14:val="5000"/>
              </w14:schemeClr>
            </w14:solidFill>
          </w14:textFill>
        </w:rPr>
        <w:t>日</w:t>
      </w:r>
    </w:p>
    <w:p w14:paraId="04800277">
      <w:pPr>
        <w:spacing w:line="276" w:lineRule="auto"/>
        <w:rPr>
          <w:rFonts w:hint="eastAsia" w:ascii="宋体" w:hAnsi="宋体" w:eastAsia="宋体" w:cs="宋体"/>
          <w:b/>
          <w:bCs/>
          <w:color w:val="0D0D0D" w:themeColor="text1" w:themeTint="F2"/>
          <w:kern w:val="0"/>
          <w:sz w:val="24"/>
          <w14:textFill>
            <w14:solidFill>
              <w14:schemeClr w14:val="tx1">
                <w14:lumMod w14:val="95000"/>
                <w14:lumOff w14:val="5000"/>
              </w14:schemeClr>
            </w14:solidFill>
          </w14:textFill>
        </w:rPr>
      </w:pPr>
      <w:r>
        <w:rPr>
          <w:rFonts w:hint="eastAsia" w:ascii="宋体" w:hAnsi="宋体" w:eastAsia="宋体" w:cs="宋体"/>
          <w:b/>
          <w:bCs/>
          <w:color w:val="0D0D0D" w:themeColor="text1" w:themeTint="F2"/>
          <w:kern w:val="0"/>
          <w:sz w:val="24"/>
          <w14:textFill>
            <w14:solidFill>
              <w14:schemeClr w14:val="tx1">
                <w14:lumMod w14:val="95000"/>
                <w14:lumOff w14:val="5000"/>
              </w14:schemeClr>
            </w14:solidFill>
          </w14:textFill>
        </w:rPr>
        <w:br w:type="page"/>
      </w:r>
    </w:p>
    <w:p w14:paraId="28CDB938">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39" w:name="_Toc139463631"/>
      <w:bookmarkStart w:id="540" w:name="_Toc120443090"/>
      <w:bookmarkStart w:id="541" w:name="_Toc139462832"/>
      <w:bookmarkStart w:id="542" w:name="_Toc139464396"/>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附件二　廉政合同</w:t>
      </w:r>
      <w:bookmarkEnd w:id="539"/>
      <w:bookmarkEnd w:id="540"/>
      <w:bookmarkEnd w:id="541"/>
      <w:bookmarkEnd w:id="542"/>
    </w:p>
    <w:p w14:paraId="19AB00DD">
      <w:pPr>
        <w:widowControl/>
        <w:spacing w:line="276" w:lineRule="auto"/>
        <w:jc w:val="cente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8"/>
          <w:szCs w:val="28"/>
          <w14:textFill>
            <w14:solidFill>
              <w14:schemeClr w14:val="tx1">
                <w14:lumMod w14:val="95000"/>
                <w14:lumOff w14:val="5000"/>
              </w14:schemeClr>
            </w14:solidFill>
          </w14:textFill>
        </w:rPr>
        <w:t>廉政合同</w:t>
      </w:r>
    </w:p>
    <w:p w14:paraId="4A47E8F1">
      <w:pPr>
        <w:widowControl/>
        <w:spacing w:line="276"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（项目名称）</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的项目法人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（项目法人名称，以下简称“发包人”）与该项目</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标段的施工单位</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（施工单位名称，以下简称“承包人”），特订立如下合同。</w:t>
      </w:r>
    </w:p>
    <w:p w14:paraId="3F1BA2AA">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1.发包人和承包人双方的权利和义务</w:t>
      </w:r>
    </w:p>
    <w:p w14:paraId="155110D3">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（1）严格遵守党的政策规定和国家在关法律法规及交通运输部的有关规定。</w:t>
      </w:r>
    </w:p>
    <w:p w14:paraId="23B7E28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（2）严格执行</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（项目名称）</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标段施工合同文件，自觉按合同办事。</w:t>
      </w:r>
    </w:p>
    <w:p w14:paraId="2F8C990F">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（3）双方的业务活动坚持公开、公正、诚信、透明的原则（法律认定的商业秘密和合同文件另有规定除外），不得损害国家和集体利益，不得违反工程建设管理规章制度。</w:t>
      </w:r>
    </w:p>
    <w:p w14:paraId="006E777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（4）建立健全廉政制度，开展廉政教育，设立廉政告示牌，公布举报电话，监督并认真查处违法违纪行为。</w:t>
      </w:r>
    </w:p>
    <w:p w14:paraId="4DD99EE9">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（5）发现对方在业务活动中有违反廉政规定的行为，有及时提醒对方纠正的权利和义务。</w:t>
      </w:r>
    </w:p>
    <w:p w14:paraId="06BF596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（6）发现对方严重违反本合同义务条款的行为，有向其上级有关部门举报、建议给予处理并要求告知处理结果的权利。</w:t>
      </w:r>
    </w:p>
    <w:p w14:paraId="009F4CB7">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2.发包人的义务</w:t>
      </w:r>
    </w:p>
    <w:p w14:paraId="0B0A402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（1）发包人及其工作人员不得索要或接受承包人的礼金、有价证券和贵重物品，不得让承包人报销任何应由发包人或发包人工作人员个人支付的费用等。</w:t>
      </w:r>
    </w:p>
    <w:p w14:paraId="78468304">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（2）发包人工作人员不得参加承包人安排的超标准宴请和娱乐活动；不得接受承包人提供的通讯工具、交通工具和高档办公用品等。</w:t>
      </w:r>
    </w:p>
    <w:p w14:paraId="5E5A1444">
      <w:pPr>
        <w:widowControl/>
        <w:spacing w:line="276" w:lineRule="auto"/>
        <w:ind w:firstLine="550" w:firstLineChars="25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（3）发包人及其工作人员不得要求或者接受承包人为其住房装修、婚丧嫁娶活动、配偶子女的工作安排以及出国出境、旅游等提供方便等。</w:t>
      </w:r>
    </w:p>
    <w:p w14:paraId="0F66F44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（4）发包人工作人员及其配偶、子女不得从事与发包人工程有关的材料设备供应、工程分包、劳务等经济活动等。</w:t>
      </w:r>
    </w:p>
    <w:p w14:paraId="47D3E08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（5）发包人及其工作人员不得以任何理由向承包人推荐分包单位或推销材料，不得要求承包人购买合同规定外的材料和设备。</w:t>
      </w:r>
    </w:p>
    <w:p w14:paraId="75784D90">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（6）发包人工作人员要秉公办事，不准营私舞弊，不准利用职权从事各种个人有偿中介活动和安排个人施工队伍。</w:t>
      </w:r>
    </w:p>
    <w:p w14:paraId="2DF5148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3.承包人义务</w:t>
      </w:r>
    </w:p>
    <w:p w14:paraId="2A5C51EF">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（1）承包人不得以任何理由向发包人及其工作人员行贿或馈赠礼金、有价证券、贵重礼品。</w:t>
      </w:r>
    </w:p>
    <w:p w14:paraId="4DB6712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（2）承包人不得以任何名义为发包人及其工作人员报销应由发包人单位或个人支付的任何费用。</w:t>
      </w:r>
    </w:p>
    <w:p w14:paraId="46661D3E">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（3）承包人不得以任何理由安排发包人工作人员参加超标准宴请及娱乐活动。</w:t>
      </w:r>
    </w:p>
    <w:p w14:paraId="3385E376">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（4）承包人不得为发包人单位和个人购置或提供通讯工具、交通工具和高档办公用品等。</w:t>
      </w:r>
    </w:p>
    <w:p w14:paraId="13024AA7">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4.违约责任</w:t>
      </w:r>
    </w:p>
    <w:p w14:paraId="6E90573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（1）发包人及其工作人员违反本合同第1、2条，按管理权限，依据有关规定给予党纪、政纪或组织处理；涉嫌犯罪的，移交司法机关追究刑事责任；给承包人单位造成经济损失的，应予以赔偿。</w:t>
      </w:r>
    </w:p>
    <w:p w14:paraId="46171871">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2）承包人及其工作人员违反本合同第1、3条，按管理权限，依据有关规定给予党纪、政纪或组织处理；给发包人单位造成经济损失的，应予以赔偿；情节严重的，发包人建议交通工程建设主管部门给予承包人一至三年内不得进入其主管的交通工程建设市场的处罚。</w:t>
      </w:r>
    </w:p>
    <w:p w14:paraId="28CD0767">
      <w:pPr>
        <w:widowControl/>
        <w:spacing w:line="276" w:lineRule="auto"/>
        <w:ind w:firstLine="440" w:firstLineChars="2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5.双方约定：本合同由双方或双方上级单位的纪检监察机关负责监督执行。由发包人或发包人上级单位的纪检监察部门约请承包人或承包人上级单位纪检监察部门对本合同执行情况进行检查，提出在本合同规定范围内的裁定意见。</w:t>
      </w:r>
    </w:p>
    <w:p w14:paraId="386A546A">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6.本合同有效期为发包人和承包人签署之日起至该工程项目竣工验收后止。</w:t>
      </w:r>
    </w:p>
    <w:p w14:paraId="642DB371">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7.本合同作为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（项目名称</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标段施工合同的附件，与工程施工合同具有同等的法律效力，经合同双方签署后立即生效。</w:t>
      </w:r>
    </w:p>
    <w:p w14:paraId="6DAE9532">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8.本合同一式四份，由发包人和承包人各执一份，送交发包人和承包人的监督单位各一份。</w:t>
      </w:r>
    </w:p>
    <w:p w14:paraId="24DF58CD">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2A7516AB">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     承包人：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（盖单位章）</w:t>
      </w:r>
    </w:p>
    <w:p w14:paraId="7CC6C928">
      <w:pPr>
        <w:widowControl/>
        <w:spacing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法定代表人或其委托代理人：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    法定代表人或其委托代理人：</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（签字）</w:t>
      </w:r>
    </w:p>
    <w:p w14:paraId="4CFE615D">
      <w:pPr>
        <w:widowControl/>
        <w:spacing w:line="276" w:lineRule="auto"/>
        <w:ind w:firstLine="1320" w:firstLineChars="60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xml:space="preserve">        　　　　　  </w:t>
      </w:r>
    </w:p>
    <w:p w14:paraId="7128A68A">
      <w:pPr>
        <w:widowControl/>
        <w:spacing w:line="276" w:lineRule="auto"/>
        <w:ind w:firstLine="6050" w:firstLineChars="2750"/>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年</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kern w:val="0"/>
          <w:sz w:val="22"/>
          <w:szCs w:val="21"/>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t>日</w:t>
      </w:r>
    </w:p>
    <w:p w14:paraId="02BE11E0">
      <w:pPr>
        <w:widowControl/>
        <w:spacing w:after="120" w:afterLines="50" w:line="276" w:lineRule="auto"/>
        <w:jc w:val="left"/>
        <w:rPr>
          <w:rFonts w:hint="eastAsia" w:ascii="宋体" w:hAnsi="宋体" w:eastAsia="宋体" w:cs="宋体"/>
          <w:color w:val="0D0D0D" w:themeColor="text1" w:themeTint="F2"/>
          <w:kern w:val="0"/>
          <w:szCs w:val="21"/>
          <w14:textFill>
            <w14:solidFill>
              <w14:schemeClr w14:val="tx1">
                <w14:lumMod w14:val="95000"/>
                <w14:lumOff w14:val="5000"/>
              </w14:schemeClr>
            </w14:solidFill>
          </w14:textFill>
        </w:rPr>
      </w:pPr>
    </w:p>
    <w:p w14:paraId="211B7E8C">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5D399FB0">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3F9FB510">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05A79775">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36ED678B">
      <w:pPr>
        <w:widowControl/>
        <w:spacing w:after="120" w:afterLines="50" w:line="276" w:lineRule="auto"/>
        <w:jc w:val="left"/>
        <w:rPr>
          <w:rFonts w:hint="eastAsia" w:ascii="宋体" w:hAnsi="宋体" w:eastAsia="宋体" w:cs="宋体"/>
          <w:color w:val="0D0D0D" w:themeColor="text1" w:themeTint="F2"/>
          <w:kern w:val="0"/>
          <w:sz w:val="22"/>
          <w:szCs w:val="21"/>
          <w14:textFill>
            <w14:solidFill>
              <w14:schemeClr w14:val="tx1">
                <w14:lumMod w14:val="95000"/>
                <w14:lumOff w14:val="5000"/>
              </w14:schemeClr>
            </w14:solidFill>
          </w14:textFill>
        </w:rPr>
      </w:pPr>
    </w:p>
    <w:p w14:paraId="2F357FD9">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78ED169">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1F4CE3F">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4BD0ECC7">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41F445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DAE774B">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43" w:name="_Toc139462833"/>
      <w:bookmarkStart w:id="544" w:name="_Toc139463632"/>
      <w:bookmarkStart w:id="545" w:name="_Toc139464397"/>
      <w:bookmarkStart w:id="546" w:name="_Toc120443091"/>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附件三　安全生产合同</w:t>
      </w:r>
      <w:bookmarkEnd w:id="543"/>
      <w:bookmarkEnd w:id="544"/>
      <w:bookmarkEnd w:id="545"/>
      <w:bookmarkEnd w:id="546"/>
    </w:p>
    <w:p w14:paraId="2209E06F">
      <w:pPr>
        <w:widowControl/>
        <w:spacing w:after="200" w:line="276" w:lineRule="auto"/>
        <w:jc w:val="center"/>
        <w:rPr>
          <w:rFonts w:hint="eastAsia" w:ascii="宋体" w:hAnsi="宋体" w:eastAsia="宋体" w:cs="宋体"/>
          <w:color w:val="0D0D0D" w:themeColor="text1" w:themeTint="F2"/>
          <w:kern w:val="0"/>
          <w:sz w:val="20"/>
          <w:szCs w:val="21"/>
          <w14:textFill>
            <w14:solidFill>
              <w14:schemeClr w14:val="tx1">
                <w14:lumMod w14:val="95000"/>
                <w14:lumOff w14:val="5000"/>
              </w14:schemeClr>
            </w14:solidFill>
          </w14:textFill>
        </w:rPr>
      </w:pPr>
      <w:r>
        <w:rPr>
          <w:rFonts w:hint="eastAsia" w:ascii="宋体" w:hAnsi="宋体" w:eastAsia="宋体" w:cs="宋体"/>
          <w:color w:val="0D0D0D" w:themeColor="text1" w:themeTint="F2"/>
          <w:kern w:val="0"/>
          <w:sz w:val="24"/>
          <w:szCs w:val="28"/>
          <w14:textFill>
            <w14:solidFill>
              <w14:schemeClr w14:val="tx1">
                <w14:lumMod w14:val="95000"/>
                <w14:lumOff w14:val="5000"/>
              </w14:schemeClr>
            </w14:solidFill>
          </w14:textFill>
        </w:rPr>
        <w:t>安全生产合同</w:t>
      </w:r>
    </w:p>
    <w:p w14:paraId="5F30925C">
      <w:pPr>
        <w:snapToGrid w:val="0"/>
        <w:spacing w:line="276" w:lineRule="auto"/>
        <w:ind w:firstLine="431" w:firstLineChars="196"/>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为在</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（项目名称）施工合同的实施过程中创造安全、高效的施工环境，切实搞好本项目的安全管理工作，本项目发包人</w:t>
      </w:r>
      <w:r>
        <w:rPr>
          <w:rFonts w:hint="eastAsia" w:ascii="宋体" w:hAnsi="宋体" w:cs="宋体"/>
          <w:color w:val="0D0D0D" w:themeColor="text1" w:themeTint="F2"/>
          <w:sz w:val="22"/>
          <w:u w:val="single"/>
          <w:lang w:val="en-US" w:eastAsia="zh-CN"/>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（发包人名称，以下简称“发包人”）与承包人</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（承包人名称，以下简称“承包人”）特此签订安全生产合同：</w:t>
      </w:r>
    </w:p>
    <w:p w14:paraId="072234E3">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1.发包人职责</w:t>
      </w:r>
    </w:p>
    <w:p w14:paraId="5A6A1D9A">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（1）严格遵守国家有关安全生产的法律法规，认真执行工程承包合同中的有关安全要求,达到“零死亡”安全管理目标。 </w:t>
      </w:r>
    </w:p>
    <w:p w14:paraId="3A4C243E">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（2）按照“安全第一、预防为主”和坚持“管生产必须管安全”的原则进行安全生产管理，做到生产与安全工作同时计划、布置、检查、总结和评比。</w:t>
      </w:r>
    </w:p>
    <w:p w14:paraId="6FB4E655">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（3）重要的安全设施必须坚持与主体工程“三同时”的原则，即：同时设计、审批，同时施工，同时验收，投入使用。</w:t>
      </w:r>
    </w:p>
    <w:p w14:paraId="6431537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（4）定期召开安全生产调度会，及时传达中央及地方有关安全生产的精神。</w:t>
      </w:r>
    </w:p>
    <w:p w14:paraId="05C6A529">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（5）组织对承包人施工现场进行安全生产检查，监督承包人及时处理发现的各种安全隐患。</w:t>
      </w:r>
    </w:p>
    <w:p w14:paraId="7423F97A">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（6）严格遵守国家有关安全生产的法律法规，认真执行工程承包合同中的有关安全要求。</w:t>
      </w:r>
    </w:p>
    <w:p w14:paraId="3CA7F2F4">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2.承包人职责</w:t>
      </w:r>
    </w:p>
    <w:p w14:paraId="364DA999">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（1）严格遵守国家有关安全生产的法律法规，认真执行工程承包合同中的有关安全要求,达到“零死亡”安全管理目标。</w:t>
      </w:r>
    </w:p>
    <w:p w14:paraId="65A8218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35FAF2B7">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6B253A4">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（4）承包人在任何时候都应采用各种合理的预防措施，防止其员工发生任何违法、违禁、暴力或妨碍治安的行为。</w:t>
      </w:r>
    </w:p>
    <w:p w14:paraId="0E6AE08B">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1506FFE">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6）对于易燃易爆的材料除应专门妥善保管之外，还应配备有足够的消防设施，所有施工人员应熟悉消防设备的性能和使用方法；承包人不得将任何种类的爆炸物给予、易货或以其他方式转让给任何其他人，或允许、容忍上述同样行为。</w:t>
      </w:r>
    </w:p>
    <w:p w14:paraId="4649EC60">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（7）操作人员上岗，必须按规定穿戴防护用品。施工负责人和安全检查员应随时检查劳动防护用品的穿戴情况，不按规定穿戴防护用品的人员不得上岗。</w:t>
      </w:r>
    </w:p>
    <w:p w14:paraId="133C005A">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（8）所有施工机具设备和高空作业的设备均应定期检查，并有安全员的签字记录，保证其经常处于完好状态；不合格的机具、设备和劳保护用品严禁使用。</w:t>
      </w:r>
    </w:p>
    <w:p w14:paraId="36840D3D">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（9）施工中采用新技术、新工艺、新设备、新材料时，必须制定相应的安全技术措施，施工现场必须具有相关的安全标志牌。</w:t>
      </w:r>
    </w:p>
    <w:p w14:paraId="76716A60">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170B1CA9">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（11）安全生产费用按照《公路水运工程安全生产监督管理办法》的相关规定使用和管理。</w:t>
      </w:r>
    </w:p>
    <w:p w14:paraId="302A2E7E">
      <w:pPr>
        <w:snapToGrid w:val="0"/>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严格遵守《中华人民共和国安全生产法》、《建设工程安全生产管理条例》等国家有关安全生的法律法规、《公路水运工程安全生产监督管理办法》、《公路工程施工安全技术规程》和《公路筑养路机械操作规程》有关安全生产的规定。认真执行工程承包合同中的有关安全要求。</w:t>
      </w:r>
    </w:p>
    <w:p w14:paraId="7E09CDD4">
      <w:pPr>
        <w:snapToGrid w:val="0"/>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3.违约责任</w:t>
      </w:r>
    </w:p>
    <w:p w14:paraId="56762C82">
      <w:pPr>
        <w:snapToGrid w:val="0"/>
        <w:spacing w:line="276" w:lineRule="auto"/>
        <w:ind w:firstLine="42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如因发包人或承包人违约造成安全事故，将依法追究责任。</w:t>
      </w:r>
    </w:p>
    <w:p w14:paraId="0450A6DD">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4.本合同由双方法定代表人或其授权的代理人签署并加盖单位章后生效，全部工程竣工验收后失效。</w:t>
      </w:r>
    </w:p>
    <w:p w14:paraId="2C8B7622">
      <w:pPr>
        <w:snapToGrid w:val="0"/>
        <w:spacing w:line="276" w:lineRule="auto"/>
        <w:ind w:firstLine="220" w:firstLineChars="1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5.本合同正本二份，副本</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份，合同双方各执正本一份，副本</w:t>
      </w:r>
      <w:r>
        <w:rPr>
          <w:rFonts w:hint="eastAsia" w:ascii="宋体" w:hAnsi="宋体" w:eastAsia="宋体" w:cs="宋体"/>
          <w:color w:val="0D0D0D" w:themeColor="text1" w:themeTint="F2"/>
          <w:sz w:val="22"/>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份，当正本与副本的内容不一致时，以正本为准。</w:t>
      </w:r>
    </w:p>
    <w:p w14:paraId="5FF9968A">
      <w:pPr>
        <w:snapToGrid w:val="0"/>
        <w:spacing w:line="276" w:lineRule="auto"/>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 </w:t>
      </w:r>
    </w:p>
    <w:p w14:paraId="592F72D6">
      <w:pPr>
        <w:snapToGrid w:val="0"/>
        <w:spacing w:line="276" w:lineRule="auto"/>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发包人：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（盖单位章）     承包人：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（盖单位章）</w:t>
      </w:r>
    </w:p>
    <w:p w14:paraId="6EA3AFE3">
      <w:pPr>
        <w:snapToGrid w:val="0"/>
        <w:spacing w:line="276" w:lineRule="auto"/>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14:textFill>
            <w14:solidFill>
              <w14:schemeClr w14:val="tx1">
                <w14:lumMod w14:val="95000"/>
                <w14:lumOff w14:val="5000"/>
              </w14:schemeClr>
            </w14:solidFill>
          </w14:textFill>
        </w:rPr>
        <w:t>法定代表人或其委托代理人：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（签字）   法定代表人或其委托代理人：</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（签字）</w:t>
      </w:r>
    </w:p>
    <w:p w14:paraId="770ED7B5">
      <w:pPr>
        <w:snapToGrid w:val="0"/>
        <w:spacing w:line="276" w:lineRule="auto"/>
        <w:ind w:firstLine="1200" w:firstLineChars="600"/>
        <w:rPr>
          <w:rFonts w:hint="eastAsia" w:ascii="宋体" w:hAnsi="宋体" w:eastAsia="宋体" w:cs="宋体"/>
          <w:color w:val="0D0D0D" w:themeColor="text1" w:themeTint="F2"/>
          <w:sz w:val="20"/>
          <w14:textFill>
            <w14:solidFill>
              <w14:schemeClr w14:val="tx1">
                <w14:lumMod w14:val="95000"/>
                <w14:lumOff w14:val="5000"/>
              </w14:schemeClr>
            </w14:solidFill>
          </w14:textFill>
        </w:rPr>
      </w:pP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年</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日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年</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 xml:space="preserve">月 </w:t>
      </w:r>
      <w:r>
        <w:rPr>
          <w:rFonts w:hint="eastAsia" w:ascii="宋体" w:hAnsi="宋体" w:eastAsia="宋体" w:cs="宋体"/>
          <w:color w:val="0D0D0D" w:themeColor="text1" w:themeTint="F2"/>
          <w:sz w:val="20"/>
          <w:u w:val="single"/>
          <w14:textFill>
            <w14:solidFill>
              <w14:schemeClr w14:val="tx1">
                <w14:lumMod w14:val="95000"/>
                <w14:lumOff w14:val="5000"/>
              </w14:schemeClr>
            </w14:solidFill>
          </w14:textFill>
        </w:rPr>
        <w:t xml:space="preserve">     </w:t>
      </w:r>
      <w:r>
        <w:rPr>
          <w:rFonts w:hint="eastAsia" w:ascii="宋体" w:hAnsi="宋体" w:eastAsia="宋体" w:cs="宋体"/>
          <w:color w:val="0D0D0D" w:themeColor="text1" w:themeTint="F2"/>
          <w:sz w:val="20"/>
          <w14:textFill>
            <w14:solidFill>
              <w14:schemeClr w14:val="tx1">
                <w14:lumMod w14:val="95000"/>
                <w14:lumOff w14:val="5000"/>
              </w14:schemeClr>
            </w14:solidFill>
          </w14:textFill>
        </w:rPr>
        <w:t>日</w:t>
      </w:r>
    </w:p>
    <w:p w14:paraId="0D4B9880">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7451826">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4947FD08">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3B67323">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5B8B582">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A569252">
      <w:pPr>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5B64310">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FF49C2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AF5DFA1">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547C053C">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33F9EC6A">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2FFA2B02">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66FCB30">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5810C2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1A055A55">
      <w:pPr>
        <w:pStyle w:val="2"/>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6B947107">
      <w:pPr>
        <w:pStyle w:val="5"/>
        <w:ind w:firstLine="420"/>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00804608">
      <w:pPr>
        <w:pStyle w:val="6"/>
        <w:rPr>
          <w:rFonts w:hint="eastAsia" w:ascii="宋体" w:hAnsi="宋体" w:eastAsia="宋体" w:cs="宋体"/>
          <w:color w:val="0D0D0D" w:themeColor="text1" w:themeTint="F2"/>
          <w14:textFill>
            <w14:solidFill>
              <w14:schemeClr w14:val="tx1">
                <w14:lumMod w14:val="95000"/>
                <w14:lumOff w14:val="5000"/>
              </w14:schemeClr>
            </w14:solidFill>
          </w14:textFill>
        </w:rPr>
      </w:pPr>
    </w:p>
    <w:p w14:paraId="7A3DD74A">
      <w:pPr>
        <w:pStyle w:val="3"/>
        <w:snapToGrid w:val="0"/>
        <w:spacing w:before="0" w:after="0" w:line="240" w:lineRule="auto"/>
        <w:ind w:firstLine="440"/>
        <w:contextualSpacing/>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pPr>
      <w:bookmarkStart w:id="547" w:name="_Toc139462834"/>
      <w:bookmarkStart w:id="548" w:name="_Toc139464398"/>
      <w:bookmarkStart w:id="549" w:name="_Toc120443092"/>
      <w:bookmarkStart w:id="550" w:name="_Toc139463633"/>
      <w:r>
        <w:rPr>
          <w:rFonts w:hint="eastAsia" w:ascii="宋体" w:hAnsi="宋体" w:eastAsia="宋体" w:cs="宋体"/>
          <w:color w:val="0D0D0D" w:themeColor="text1" w:themeTint="F2"/>
          <w:sz w:val="22"/>
          <w:szCs w:val="24"/>
          <w14:textFill>
            <w14:solidFill>
              <w14:schemeClr w14:val="tx1">
                <w14:lumMod w14:val="95000"/>
                <w14:lumOff w14:val="5000"/>
              </w14:schemeClr>
            </w14:solidFill>
          </w14:textFill>
        </w:rPr>
        <w:t>附件四 环境保护合同</w:t>
      </w:r>
      <w:bookmarkEnd w:id="547"/>
      <w:bookmarkEnd w:id="548"/>
      <w:bookmarkEnd w:id="549"/>
      <w:bookmarkEnd w:id="550"/>
    </w:p>
    <w:p w14:paraId="5B81F0FB">
      <w:pPr>
        <w:snapToGrid w:val="0"/>
        <w:spacing w:line="276" w:lineRule="auto"/>
        <w:jc w:val="center"/>
        <w:rPr>
          <w:rFonts w:hint="eastAsia" w:ascii="宋体" w:hAnsi="宋体" w:eastAsia="宋体" w:cs="宋体"/>
          <w:bCs/>
          <w:color w:val="0D0D0D" w:themeColor="text1" w:themeTint="F2"/>
          <w:sz w:val="28"/>
          <w:szCs w:val="30"/>
          <w14:textFill>
            <w14:solidFill>
              <w14:schemeClr w14:val="tx1">
                <w14:lumMod w14:val="95000"/>
                <w14:lumOff w14:val="5000"/>
              </w14:schemeClr>
            </w14:solidFill>
          </w14:textFill>
        </w:rPr>
      </w:pPr>
      <w:bookmarkStart w:id="551" w:name="_Toc30508"/>
    </w:p>
    <w:p w14:paraId="1C45F615">
      <w:pPr>
        <w:snapToGrid w:val="0"/>
        <w:spacing w:line="276" w:lineRule="auto"/>
        <w:jc w:val="center"/>
        <w:rPr>
          <w:rFonts w:hint="eastAsia" w:ascii="宋体" w:hAnsi="宋体" w:eastAsia="宋体" w:cs="宋体"/>
          <w:color w:val="0D0D0D" w:themeColor="text1" w:themeTint="F2"/>
          <w14:textFill>
            <w14:solidFill>
              <w14:schemeClr w14:val="tx1">
                <w14:lumMod w14:val="95000"/>
                <w14:lumOff w14:val="5000"/>
              </w14:schemeClr>
            </w14:solidFill>
          </w14:textFill>
        </w:rPr>
      </w:pPr>
      <w:r>
        <w:rPr>
          <w:rFonts w:hint="eastAsia" w:ascii="宋体" w:hAnsi="宋体" w:eastAsia="宋体" w:cs="宋体"/>
          <w:bCs/>
          <w:color w:val="0D0D0D" w:themeColor="text1" w:themeTint="F2"/>
          <w:sz w:val="24"/>
          <w:szCs w:val="30"/>
          <w14:textFill>
            <w14:solidFill>
              <w14:schemeClr w14:val="tx1">
                <w14:lumMod w14:val="95000"/>
                <w14:lumOff w14:val="5000"/>
              </w14:schemeClr>
            </w14:solidFill>
          </w14:textFill>
        </w:rPr>
        <w:t>施工环境保护协议书合同范本</w:t>
      </w:r>
      <w:bookmarkEnd w:id="551"/>
    </w:p>
    <w:p w14:paraId="59AF7EA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甲 方：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p w14:paraId="3FCB1A8D">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乙 方： </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p>
    <w:p w14:paraId="1CF88DA7">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3221805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为加强施工安全管理，依据《中华人民共和国合同法》、《中华人民共和国安全生产法》以及有关安全环保管理的法律法规，经甲乙双方共同协商，并本着自愿、公平、一致的原则，就乙方在为甲方提供工程服务过程中的安全施工环境保护事项达成如下协议。</w:t>
      </w:r>
    </w:p>
    <w:p w14:paraId="3328BB99">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第一条 工程概况</w:t>
      </w:r>
    </w:p>
    <w:p w14:paraId="1D234FE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一、工程名称：</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p>
    <w:p w14:paraId="53E11DB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二、工程性质：</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w:t>
      </w:r>
    </w:p>
    <w:p w14:paraId="0943E3B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第二条 甲方的权利和义务</w:t>
      </w:r>
    </w:p>
    <w:p w14:paraId="259709E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一、甲方的权利：</w:t>
      </w:r>
    </w:p>
    <w:p w14:paraId="6EC768F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1、有权对乙方的资质和安全环保业绩进行审查。</w:t>
      </w:r>
    </w:p>
    <w:p w14:paraId="63EE6DD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2、有权要求乙方建立安全组织机构，严格执行国家安全环保法律法规及甲方和上级有关各项安全环保规章制度。</w:t>
      </w:r>
    </w:p>
    <w:p w14:paraId="13F43A9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3、有权要求乙方针对作业项目制定健康安全环境的安全保证措施方案，并进行审查和备案。</w:t>
      </w:r>
    </w:p>
    <w:p w14:paraId="63F15DE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4、有权要求乙方维护好甲方的安全环保设施、设备和器材。</w:t>
      </w:r>
    </w:p>
    <w:p w14:paraId="0E2BC1A9">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5、有权对乙方使用的设备、设施进行安全管理。</w:t>
      </w:r>
    </w:p>
    <w:p w14:paraId="3B53456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6、有权对乙方施工作业现场的安全环保情况进行监督检查，有权按相关规定进行处罚或其它处理。</w:t>
      </w:r>
    </w:p>
    <w:p w14:paraId="4ACEB1F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7、发生事故后，有权根据有关规定组织、参与事故的调查。</w:t>
      </w:r>
    </w:p>
    <w:p w14:paraId="64A13A2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二、甲方的义务：</w:t>
      </w:r>
    </w:p>
    <w:p w14:paraId="5C6814D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1、认真贯彻落实国家有关安全环保法律、法规、标准及规范和甲方及其上级有关安全环保规章制度。</w:t>
      </w:r>
    </w:p>
    <w:p w14:paraId="76AD9FC3">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2、对乙方进入甲方区域作业的人员进行入厂安全教育及办理相关入厂手续。</w:t>
      </w:r>
    </w:p>
    <w:p w14:paraId="6787966C">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3、在作业前应对乙方进行安全交底，如向乙方提供与乙方作业相关的甲方的有毒有害、易燃易爆物品及地下管线等状况的数据。明确施工作业区的范围、危险点源及安全管理要求。</w:t>
      </w:r>
    </w:p>
    <w:p w14:paraId="3C8B5BC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4、为乙方提供工程合同中规定的安全作业需要的环境条件。</w:t>
      </w:r>
    </w:p>
    <w:p w14:paraId="361461A8">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5、发生事故后积极组织抢险，防止事故扩大。</w:t>
      </w:r>
    </w:p>
    <w:p w14:paraId="6243253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第三条 乙方的权利和义务一、乙方的权利：</w:t>
      </w:r>
    </w:p>
    <w:p w14:paraId="4CBF505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1、有权对甲方的安全环保工作提出合理化建议。</w:t>
      </w:r>
    </w:p>
    <w:p w14:paraId="16135CFA">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2、在日常作业中，对甲方违章强令乙方冒险作业，有权拒绝执行；对由此产生的打击报复，有权向有关部门举报。</w:t>
      </w:r>
    </w:p>
    <w:p w14:paraId="3808FD2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3、有权要求甲方提供符合安全施工作业的环境条件。</w:t>
      </w:r>
    </w:p>
    <w:p w14:paraId="0FFC2A6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4、有权要求甲方在作业前进行安全交底，提供有关有毒有害、易燃易爆物品及地下管线等状况的数据。明确施工作业区的范围、危险点源及安全管理要求。</w:t>
      </w:r>
    </w:p>
    <w:p w14:paraId="275C2A3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5、发生严重危及乙方人员生命安全的不可抗拒紧急情况时，乙方有权采取必要的措施避险。</w:t>
      </w:r>
    </w:p>
    <w:p w14:paraId="7D5D6A00">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二、乙方的义务：</w:t>
      </w:r>
    </w:p>
    <w:p w14:paraId="6B925BBE">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1、严格按照“安全第一，预防为主”的安全工作方针，强化施工作业人员安全环保意识，服从甲方相关部门的安全管理。</w:t>
      </w:r>
    </w:p>
    <w:p w14:paraId="34279BED">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2、必须健全安全组织机构，建立安全生产责任制，严格遵守国家有关安全、消防、环保方面的法律法规及甲方和上级的各项安全环保规章制度。</w:t>
      </w:r>
    </w:p>
    <w:p w14:paraId="7437DD2C">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3、根据工程服务安全施工作业的需要，乙方应在安全评价的基础上根据甲方要求编制《安全风险评价报告书》，针对施工作业项目制定健康、安全、环境措施方案，经甲方审批并备案。</w:t>
      </w:r>
    </w:p>
    <w:p w14:paraId="0D7B135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4、乙方应编制并提供的相关资料：（1）安全组织机构及网络图、安全工作计划、安全防火主要负责人和安全专业人员名单及联系方式；（2）安全教育与培训；（3）现场安全检查和日常检查；（4）现场安全施工的协调；（5）现场安全卫生与急救；（6）现场运输与交通安全；（7）高处作业与脚手架；（8） 用火作业与消防；（9）起吊作业；（10）有毒有害作业与防护；（11）施工用电安全；（12）现场照明；（13）粉尘作业防护和噪声防护；（14）有限空间内作业；（15）防暑降温与防寒防冻；（16）废料、废气及废水的处理和排放；（17）安全施工措施的编制与批准；（18）事故报告与调查处理；（19）其它。</w:t>
      </w:r>
    </w:p>
    <w:p w14:paraId="6073287D">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5、在作业前要组织所有参加作业的人员接受甲方的入厂安全教育，同时，乙方要对直接参加施工的人员有针对性地进行安全教育培训 ，内容包括安全施工方案和安全施工方法、企业的安全注意事项和规章制度、作业现场的危险性及安全措施、作业可能发生的事故和应急方法等，并进行安全培训考试，考试合格者方可进入施工现场从事作业。</w:t>
      </w:r>
    </w:p>
    <w:p w14:paraId="05F632C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6、特种作业人员必须具有相应的资格证书。</w:t>
      </w:r>
    </w:p>
    <w:p w14:paraId="12FBB82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7、在施工区域内搭建临时建筑物应事先提交申请，并有具体区域相邻建筑、管线位置图，经甲方有关部门审批后方可搭建。</w:t>
      </w:r>
    </w:p>
    <w:p w14:paraId="2B880DB5">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8、在施工作业现场必须设有安全警示标志，施工作业现场危险区域，夜间设红灯警示。</w:t>
      </w:r>
    </w:p>
    <w:p w14:paraId="32DEC352">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9、严禁进入非施工作业区域或场所，不得乱动乱碰或拆卸甲方任何设备零件或附件；自觉维护作业区域内的建构筑物、设备管线和安全消防设施，在作业中可能对其构成影响和威胁时应立即提出并采取妥善措施予以保护。</w:t>
      </w:r>
    </w:p>
    <w:p w14:paraId="449ECC6B">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10、进入施工作业现场的各类人员，必须按规定着装、配戴安全帽，特种作业人员必须按特殊工种配备劳动保护用品。</w:t>
      </w:r>
    </w:p>
    <w:p w14:paraId="2079345E">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11、未经允许，不准占用消防通道，需占用或破路工程，必须按有关规定办理手续，在规定时间内完工后，立即恢复道路的正常使用，以保证消防通道畅通。</w:t>
      </w:r>
    </w:p>
    <w:p w14:paraId="627433D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12、发现作业过程中有不安全行为、隐患、重大险情，应采取有效措施及时处理并报告甲方。</w:t>
      </w:r>
    </w:p>
    <w:p w14:paraId="4A188F8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13、发生事故时，应积极抢险，服从统一指挥，避免事故进一步扩大，并按要求及时上报事故。</w:t>
      </w:r>
    </w:p>
    <w:p w14:paraId="6D5C27F3">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14、不得使用不符合国家、行业标准和甲方规定的原材料、设备、装置、防护用品、器材、安全检测仪器等。</w:t>
      </w:r>
    </w:p>
    <w:p w14:paraId="2B74EC26">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15、承担所属施工作业人员的工伤保险以及施工期间的自有及租用设备的保险责任。</w:t>
      </w:r>
    </w:p>
    <w:p w14:paraId="6DCD37E7">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16、施工中产生的废水、废气、废渣以及废料，必须达到环保排放要求方可排放或按要求回收，存放到指定场所。</w:t>
      </w:r>
    </w:p>
    <w:p w14:paraId="13AD31DF">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17、产生噪声污染的工程项目，施工前必须采取消音措施，达到环保要求后， 方可施工。</w:t>
      </w:r>
    </w:p>
    <w:p w14:paraId="0D161BD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18、在环保设施施工中影响环保设施正常运行、穿越或迁移污水管线等必须经有关部门批准，方可施工。</w:t>
      </w:r>
    </w:p>
    <w:p w14:paraId="47D46F2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19、注重文明施工，做到工完料净场地清。作业结束后，须经甲方安全环保部门和施工主管部门及上级部门检查验收签字。</w:t>
      </w:r>
    </w:p>
    <w:p w14:paraId="0D0E2B9B">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20、乙方招用的分包商，应经甲方审批认可，并具备承担工程服务项目的施工资质和安全资格。从事特种作业的人员必须经过专业培训并取得特种专业资格证书。乙方招用的分包商的安全责任由乙方承担。</w:t>
      </w:r>
    </w:p>
    <w:p w14:paraId="5A46CAEE">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第四条 违约责任及处理</w:t>
      </w:r>
    </w:p>
    <w:p w14:paraId="39D3C1E1">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一、甲乙双方违反本协议要求，未造成事故时，依据协议约定对违约者进行处理（包括但不限于支付违约金、停工整改、赔偿损失等）。</w:t>
      </w:r>
    </w:p>
    <w:p w14:paraId="591E1FC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二、甲方违约造成的事故，甲方承担全部责任，并按规定追究有关人员责任及上报。</w:t>
      </w:r>
    </w:p>
    <w:p w14:paraId="22A7B284">
      <w:pPr>
        <w:spacing w:line="276" w:lineRule="auto"/>
        <w:ind w:firstLine="440" w:firstLineChars="200"/>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三、乙方违约造成的事故，乙方承担全部责任，并按规定追究有关人员责任并报告甲方；由于乙方工程质量、检修质量及购买的原材料质量导致的事故，由乙方承担全部责任。</w:t>
      </w:r>
    </w:p>
    <w:p w14:paraId="53B1CAD4">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 xml:space="preserve">   四、甲乙双方共同违约造成的事故，按双方责任大小承担相应责任，并按规定追究有关人员责任并上报。</w:t>
      </w:r>
    </w:p>
    <w:p w14:paraId="730C6F25">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第五条 发生事故时，甲乙双方均有抢险救灾的义务，所发生的费用由责任方承担。</w:t>
      </w:r>
    </w:p>
    <w:p w14:paraId="4B9BF6C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第六条 发生事故，由事故责任主体单位上报事故；经事故调查确认责任； 事故报告和调查应按照国家和上级的有关规定进行。</w:t>
      </w:r>
    </w:p>
    <w:p w14:paraId="6431119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第七条 由于不可抗力造成协议项目施工作业事故及产生的损失，由双方各自承担相应的损失。</w:t>
      </w:r>
    </w:p>
    <w:p w14:paraId="504CA6D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第八条 对乙方发生事故后弄虚作假、隐瞒不报、迟报或谎报，一经查出， 按有关规定处罚，情节严重的，取消其进入甲方市场资格。</w:t>
      </w:r>
    </w:p>
    <w:p w14:paraId="24066604">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第九条 纠纷解决的方式：本协议履行过程中发生的任何争议纠纷，双方应通过友好协商方式解决。如协商不成，按工程服务合同所约定的争议解决方式解决。</w:t>
      </w:r>
    </w:p>
    <w:p w14:paraId="4EA0FEEC">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第十条 本协议是工程服务合同的重要组成部分，与工程服务合同具有同等法律效力。</w:t>
      </w:r>
    </w:p>
    <w:p w14:paraId="766D297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第十一条 本协议与工程服务合同的实际履行期限一致。如果主合同因故需要变更期限，本协议相应与之变更至相同期限。</w:t>
      </w:r>
    </w:p>
    <w:p w14:paraId="7AE5EBDB">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第十二条 协议中的有关名词如违章、事故、不可抗力等，按国家的法律法规的规定解释。第十三条 针对协议需明确的具体安全环保要求另行说明。</w:t>
      </w:r>
    </w:p>
    <w:p w14:paraId="7DB4C7CD">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第十四条 本协议自双方签字盖章后生效。</w:t>
      </w:r>
    </w:p>
    <w:p w14:paraId="6D871FA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第十五条 本协议一式二份，甲方一份，乙方一份。</w:t>
      </w:r>
    </w:p>
    <w:p w14:paraId="56E350B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60748998">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78604390">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6A065203">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p>
    <w:p w14:paraId="29DCB7BA">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甲 方（盖章）：</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乙 方（盖章）：</w:t>
      </w:r>
    </w:p>
    <w:p w14:paraId="4C373279">
      <w:pPr>
        <w:spacing w:line="276" w:lineRule="auto"/>
        <w:rPr>
          <w:rFonts w:hint="eastAsia" w:ascii="宋体" w:hAnsi="宋体" w:eastAsia="宋体" w:cs="宋体"/>
          <w:color w:val="0D0D0D" w:themeColor="text1" w:themeTint="F2"/>
          <w:sz w:val="22"/>
          <w14:textFill>
            <w14:solidFill>
              <w14:schemeClr w14:val="tx1">
                <w14:lumMod w14:val="95000"/>
                <w14:lumOff w14:val="5000"/>
              </w14:schemeClr>
            </w14:solidFill>
          </w14:textFill>
        </w:rPr>
      </w:pP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负责人（签字）：</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负责人（签字）：年 月 日</w:t>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ab/>
      </w:r>
      <w:r>
        <w:rPr>
          <w:rFonts w:hint="eastAsia" w:ascii="宋体" w:hAnsi="宋体" w:eastAsia="宋体" w:cs="宋体"/>
          <w:color w:val="0D0D0D" w:themeColor="text1" w:themeTint="F2"/>
          <w:sz w:val="22"/>
          <w14:textFill>
            <w14:solidFill>
              <w14:schemeClr w14:val="tx1">
                <w14:lumMod w14:val="95000"/>
                <w14:lumOff w14:val="5000"/>
              </w14:schemeClr>
            </w14:solidFill>
          </w14:textFill>
        </w:rPr>
        <w:t>年 月 日</w:t>
      </w:r>
    </w:p>
    <w:p w14:paraId="777AB548">
      <w:pPr>
        <w:rPr>
          <w:rFonts w:hint="eastAsia" w:ascii="宋体" w:hAnsi="宋体" w:eastAsia="宋体" w:cs="宋体"/>
        </w:rPr>
      </w:pPr>
    </w:p>
    <w:p w14:paraId="3B4A1B9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90A6F3"/>
    <w:multiLevelType w:val="singleLevel"/>
    <w:tmpl w:val="BE90A6F3"/>
    <w:lvl w:ilvl="0" w:tentative="0">
      <w:start w:val="1"/>
      <w:numFmt w:val="decimal"/>
      <w:lvlText w:val="%1."/>
      <w:lvlJc w:val="left"/>
      <w:pPr>
        <w:tabs>
          <w:tab w:val="left" w:pos="312"/>
        </w:tabs>
      </w:pPr>
      <w:rPr>
        <w:rFonts w:cs="Times New Roman"/>
      </w:rPr>
    </w:lvl>
  </w:abstractNum>
  <w:abstractNum w:abstractNumId="1">
    <w:nsid w:val="246858EB"/>
    <w:multiLevelType w:val="multilevel"/>
    <w:tmpl w:val="246858EB"/>
    <w:lvl w:ilvl="0" w:tentative="0">
      <w:start w:val="1"/>
      <w:numFmt w:val="japaneseCounting"/>
      <w:lvlText w:val="第%1节"/>
      <w:lvlJc w:val="left"/>
      <w:pPr>
        <w:ind w:left="1545" w:hanging="154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0EE942AF"/>
    <w:rsid w:val="14B22D17"/>
    <w:rsid w:val="260B3564"/>
    <w:rsid w:val="2AC52652"/>
    <w:rsid w:val="2BE72E61"/>
    <w:rsid w:val="47E85D65"/>
    <w:rsid w:val="5101034C"/>
    <w:rsid w:val="56EB0664"/>
    <w:rsid w:val="5F930CBD"/>
    <w:rsid w:val="64FC7E92"/>
    <w:rsid w:val="68E97EF1"/>
    <w:rsid w:val="693D1D24"/>
    <w:rsid w:val="7BC31DB8"/>
    <w:rsid w:val="7D85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4"/>
    <w:next w:val="4"/>
    <w:qFormat/>
    <w:uiPriority w:val="9"/>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customStyle="1" w:styleId="4">
    <w:name w:val="我的正文"/>
    <w:basedOn w:val="1"/>
    <w:autoRedefine/>
    <w:qFormat/>
    <w:uiPriority w:val="0"/>
    <w:pPr>
      <w:spacing w:line="360" w:lineRule="auto"/>
      <w:ind w:firstLine="200" w:firstLineChars="200"/>
    </w:pPr>
  </w:style>
  <w:style w:type="paragraph" w:styleId="5">
    <w:name w:val="Normal Indent"/>
    <w:basedOn w:val="1"/>
    <w:next w:val="6"/>
    <w:qFormat/>
    <w:uiPriority w:val="99"/>
    <w:pPr>
      <w:ind w:firstLine="200" w:firstLineChars="200"/>
    </w:pPr>
    <w:rPr>
      <w:rFonts w:asciiTheme="minorHAnsi" w:hAnsiTheme="minorHAnsi" w:cstheme="minorBidi"/>
      <w:szCs w:val="21"/>
    </w:rPr>
  </w:style>
  <w:style w:type="paragraph" w:styleId="6">
    <w:name w:val="toc 4"/>
    <w:basedOn w:val="1"/>
    <w:next w:val="1"/>
    <w:qFormat/>
    <w:uiPriority w:val="39"/>
    <w:pPr>
      <w:tabs>
        <w:tab w:val="left" w:pos="1890"/>
        <w:tab w:val="right" w:leader="dot" w:pos="8296"/>
      </w:tabs>
      <w:ind w:left="630" w:leftChars="300"/>
    </w:pPr>
    <w:rPr>
      <w:rFonts w:ascii="Calibri" w:hAnsi="Calibri"/>
      <w:szCs w:val="22"/>
    </w:rPr>
  </w:style>
  <w:style w:type="paragraph" w:styleId="7">
    <w:name w:val="Body Text"/>
    <w:basedOn w:val="1"/>
    <w:qFormat/>
    <w:uiPriority w:val="0"/>
    <w:pPr>
      <w:jc w:val="center"/>
    </w:pPr>
    <w:rPr>
      <w:szCs w:val="20"/>
    </w:rPr>
  </w:style>
  <w:style w:type="paragraph" w:styleId="10">
    <w:name w:val="List Paragraph"/>
    <w:basedOn w:val="1"/>
    <w:autoRedefine/>
    <w:qFormat/>
    <w:uiPriority w:val="99"/>
    <w:pPr>
      <w:ind w:left="1062" w:hanging="530"/>
    </w:pPr>
    <w:rPr>
      <w:rFonts w:ascii="宋体" w:hAnsi="宋体" w:cs="宋体"/>
      <w:lang w:val="zh-CN" w:bidi="zh-CN"/>
    </w:rPr>
  </w:style>
  <w:style w:type="paragraph" w:customStyle="1" w:styleId="11">
    <w:name w:val="列出段落2"/>
    <w:basedOn w:val="1"/>
    <w:autoRedefine/>
    <w:qFormat/>
    <w:uiPriority w:val="34"/>
    <w:pPr>
      <w:widowControl/>
      <w:spacing w:after="200" w:line="276" w:lineRule="auto"/>
      <w:ind w:left="720"/>
      <w:contextualSpacing/>
      <w:jc w:val="left"/>
    </w:pPr>
    <w:rPr>
      <w:rFonts w:ascii="Calibri" w:hAnsi="Calibri"/>
      <w:kern w:val="0"/>
      <w:sz w:val="22"/>
      <w:szCs w:val="22"/>
    </w:rPr>
  </w:style>
  <w:style w:type="paragraph" w:customStyle="1" w:styleId="12">
    <w:name w:val="Table Paragraph"/>
    <w:basedOn w:val="1"/>
    <w:autoRedefine/>
    <w:qFormat/>
    <w:uiPriority w:val="1"/>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31068</Words>
  <Characters>32559</Characters>
  <Lines>0</Lines>
  <Paragraphs>0</Paragraphs>
  <TotalTime>5</TotalTime>
  <ScaleCrop>false</ScaleCrop>
  <LinksUpToDate>false</LinksUpToDate>
  <CharactersWithSpaces>34159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RaoLiang</dc:creator>
  <cp:lastModifiedBy>My    ·</cp:lastModifiedBy>
  <dcterms:modified xsi:type="dcterms:W3CDTF">2025-12-19T01:07:58Z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eyJoZGlkIjoiNzc1MWNjZmFhZDRiZGMxNzFlMGMzOWUxNTFjYjg3ODIiLCJ1c2VySWQiOiI0MDc2NjQ3MzkifQ==</vt:lpwstr>
  </property>
  <property fmtid="{D5CDD505-2E9C-101B-9397-08002B2CF9AE}" pid="4" name="ICV">
    <vt:lpwstr>225E81F13792422993705B813784A397_12</vt:lpwstr>
  </property>
</Properties>
</file>