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版本号：YSY2025-CG-02520251202001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2025年阳春镇集镇人居环境整治项目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YSY2025-CG-025</w:t>
      </w:r>
      <w:r>
        <w:br/>
      </w:r>
      <w:r>
        <w:br/>
      </w:r>
      <w:r>
        <w:br/>
      </w:r>
    </w:p>
    <w:p>
      <w:pPr>
        <w:pStyle w:val="null3"/>
        <w:jc w:val="center"/>
        <w:outlineLvl w:val="2"/>
      </w:pPr>
      <w:r>
        <w:rPr>
          <w:rFonts w:ascii="仿宋_GB2312" w:hAnsi="仿宋_GB2312" w:cs="仿宋_GB2312" w:eastAsia="仿宋_GB2312"/>
          <w:sz w:val="28"/>
          <w:b/>
        </w:rPr>
        <w:t>汉中市南郑区阳春镇人民政府</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汉中市南郑区阳春镇人民政府</w:t>
      </w:r>
      <w:r>
        <w:rPr>
          <w:rFonts w:ascii="仿宋_GB2312" w:hAnsi="仿宋_GB2312" w:cs="仿宋_GB2312" w:eastAsia="仿宋_GB2312"/>
        </w:rPr>
        <w:t>委托，拟对</w:t>
      </w:r>
      <w:r>
        <w:rPr>
          <w:rFonts w:ascii="仿宋_GB2312" w:hAnsi="仿宋_GB2312" w:cs="仿宋_GB2312" w:eastAsia="仿宋_GB2312"/>
        </w:rPr>
        <w:t>2025年阳春镇集镇人居环境整治项目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YSY2025-CG-025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2025年阳春镇集镇人居环境整治项目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2025年阳春镇集镇人居环境整治项目，主要建设内容：1.拆除破损路面重新铺设混凝土道路；2.拆除旧沟渠重新砌筑混凝土渠槽；3.拆除人行道面层及基层重新铺设人行道砖；4.新建造型景墙等。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采购包1（2025年阳春镇集镇人居环境整治项目）：属于专门面向中小企业采购。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资质及拟派项目负责人资格：供应商须具有建设行政主管部门颁发的市政公用工程施工总承包三级及以上资质，具有有效的安全生产许可证；拟派项目经理须具有市政公用工程专业注册建造师二级及以上资格和安全生产考核合格B证，且无在建项目；</w:t>
      </w:r>
    </w:p>
    <w:p>
      <w:pPr>
        <w:pStyle w:val="null3"/>
      </w:pPr>
      <w:r>
        <w:rPr>
          <w:rFonts w:ascii="仿宋_GB2312" w:hAnsi="仿宋_GB2312" w:cs="仿宋_GB2312" w:eastAsia="仿宋_GB2312"/>
        </w:rPr>
        <w:t>4、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汉中市南郑区阳春镇人民政府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汉中市南郑县阳春镇安坎村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汉中市南郑区阳春镇人民政府经办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13669160613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[203]857号)和《国家发展改革委关于降低部分建设项目收费标准规范收费行为等有关问题的通知》(发改价格[2011]534号)文件的相关规定。 2、采购代理服务费的缴纳方式:在领取《成交通知书》时向采购代理机均一次性全额缴纳采购代理服务费。3、代理服务费的具体金额后续见本项目中标结果公告。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汉中市南郑区阳春镇人民政府</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汉中市南郑区阳春镇人民政府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汉中市南郑区阳春镇人民政府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地址：陕西省汉中市汉台区东一环与风景路交汇处中饮办公中心C区-8F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1,970,867.52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2025年阳春镇集镇人居环境整治项目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标的名称：2025年阳春镇集镇人居环境整治项目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一、工程概况：</w:t>
            </w:r>
          </w:p>
          <w:p>
            <w:pPr>
              <w:pStyle w:val="null3"/>
              <w:ind w:firstLine="420"/>
              <w:jc w:val="both"/>
            </w:pPr>
            <w:r>
              <w:rPr>
                <w:rFonts w:ascii="仿宋_GB2312" w:hAnsi="仿宋_GB2312" w:cs="仿宋_GB2312" w:eastAsia="仿宋_GB2312"/>
                <w:sz w:val="21"/>
              </w:rPr>
              <w:t>该项目建设地点位于陕西省汉中市南郑区阳春镇陈村，主要建设内容：</w:t>
            </w:r>
            <w:r>
              <w:rPr>
                <w:rFonts w:ascii="仿宋_GB2312" w:hAnsi="仿宋_GB2312" w:cs="仿宋_GB2312" w:eastAsia="仿宋_GB2312"/>
                <w:sz w:val="21"/>
              </w:rPr>
              <w:t>1.拆除破损路面重新铺设混凝土道路；2.拆除旧沟渠重新砌筑混凝土渠槽；3.拆除人行道面层及基层重新铺设人行道砖；4.新建造型景墙等</w:t>
            </w:r>
            <w:r>
              <w:rPr>
                <w:rFonts w:ascii="仿宋_GB2312" w:hAnsi="仿宋_GB2312" w:cs="仿宋_GB2312" w:eastAsia="仿宋_GB2312"/>
                <w:sz w:val="21"/>
              </w:rPr>
              <w:t>；具体内容详见工程量清单。</w:t>
            </w:r>
          </w:p>
          <w:p>
            <w:pPr>
              <w:pStyle w:val="null3"/>
            </w:pPr>
            <w:r>
              <w:rPr>
                <w:rFonts w:ascii="仿宋_GB2312" w:hAnsi="仿宋_GB2312" w:cs="仿宋_GB2312" w:eastAsia="仿宋_GB2312"/>
                <w:sz w:val="21"/>
              </w:rPr>
              <w:t>二、编制依据：</w:t>
            </w:r>
          </w:p>
          <w:p>
            <w:pPr>
              <w:pStyle w:val="null3"/>
              <w:ind w:firstLine="420"/>
              <w:jc w:val="both"/>
            </w:pPr>
            <w:r>
              <w:rPr>
                <w:rFonts w:ascii="仿宋_GB2312" w:hAnsi="仿宋_GB2312" w:cs="仿宋_GB2312" w:eastAsia="仿宋_GB2312"/>
                <w:sz w:val="21"/>
              </w:rPr>
              <w:t>1.施工图纸。</w:t>
            </w:r>
          </w:p>
          <w:p>
            <w:pPr>
              <w:pStyle w:val="null3"/>
              <w:ind w:firstLine="420"/>
              <w:jc w:val="both"/>
            </w:pPr>
            <w:r>
              <w:rPr>
                <w:rFonts w:ascii="仿宋_GB2312" w:hAnsi="仿宋_GB2312" w:cs="仿宋_GB2312" w:eastAsia="仿宋_GB2312"/>
                <w:sz w:val="21"/>
              </w:rPr>
              <w:t>2.按《陕西省建筑工程量清单计价规则（2025）版》、《陕西省建筑安装工程消耗量定额（2025）版》、《陕西省建筑装饰市政园林绿化工程价目表（2025）版》、《陕西省建筑工程、安装工程、装饰工程、市政工程、园林绿化工程参考费率（2025）版》及配套的相关文件计价。</w:t>
            </w:r>
          </w:p>
          <w:p>
            <w:pPr>
              <w:pStyle w:val="null3"/>
              <w:ind w:firstLine="420"/>
              <w:jc w:val="both"/>
            </w:pPr>
            <w:r>
              <w:rPr>
                <w:rFonts w:ascii="仿宋_GB2312" w:hAnsi="仿宋_GB2312" w:cs="仿宋_GB2312" w:eastAsia="仿宋_GB2312"/>
                <w:sz w:val="21"/>
              </w:rPr>
              <w:t>3.材料单价按照汉中市建设工程造价管理办公室下发的《汉中建设工程造价信息2025.09》计算。</w:t>
            </w:r>
          </w:p>
          <w:p>
            <w:pPr>
              <w:pStyle w:val="null3"/>
              <w:ind w:firstLine="420"/>
              <w:jc w:val="both"/>
            </w:pPr>
            <w:r>
              <w:rPr>
                <w:rFonts w:ascii="仿宋_GB2312" w:hAnsi="仿宋_GB2312" w:cs="仿宋_GB2312" w:eastAsia="仿宋_GB2312"/>
                <w:sz w:val="21"/>
              </w:rPr>
              <w:t>4.《陕西省住房和城乡建设关于印发2025陕西省建设工程费用规则等计价依据的通知》（陕建发【2025】10号）文件计算。</w:t>
            </w:r>
          </w:p>
          <w:p>
            <w:pPr>
              <w:pStyle w:val="null3"/>
            </w:pPr>
            <w:r>
              <w:rPr>
                <w:rFonts w:ascii="仿宋_GB2312" w:hAnsi="仿宋_GB2312" w:cs="仿宋_GB2312" w:eastAsia="仿宋_GB2312"/>
                <w:sz w:val="21"/>
              </w:rPr>
              <w:t>三、工期：</w:t>
            </w:r>
            <w:r>
              <w:rPr>
                <w:rFonts w:ascii="仿宋_GB2312" w:hAnsi="仿宋_GB2312" w:cs="仿宋_GB2312" w:eastAsia="仿宋_GB2312"/>
                <w:sz w:val="21"/>
              </w:rPr>
              <w:t>45</w:t>
            </w:r>
            <w:r>
              <w:rPr>
                <w:rFonts w:ascii="仿宋_GB2312" w:hAnsi="仿宋_GB2312" w:cs="仿宋_GB2312" w:eastAsia="仿宋_GB2312"/>
                <w:sz w:val="21"/>
              </w:rPr>
              <w:t>日历天。</w:t>
            </w:r>
          </w:p>
          <w:p>
            <w:pPr>
              <w:pStyle w:val="null3"/>
              <w:jc w:val="both"/>
            </w:pPr>
            <w:r>
              <w:rPr>
                <w:rFonts w:ascii="仿宋_GB2312" w:hAnsi="仿宋_GB2312" w:cs="仿宋_GB2312" w:eastAsia="仿宋_GB2312"/>
                <w:sz w:val="21"/>
              </w:rPr>
              <w:t>四、工程质量：合格。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1、工期:45日历天;2、质保期:1年，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供应商资质及拟派项目负责人资格</w:t>
            </w:r>
          </w:p>
        </w:tc>
        <w:tc>
          <w:tcPr>
            <w:tcW w:type="dxa" w:w="3322"/>
          </w:tcPr>
          <w:p>
            <w:pPr>
              <w:pStyle w:val="null3"/>
            </w:pPr>
            <w:r>
              <w:rPr>
                <w:rFonts w:ascii="仿宋_GB2312" w:hAnsi="仿宋_GB2312" w:cs="仿宋_GB2312" w:eastAsia="仿宋_GB2312"/>
              </w:rPr>
              <w:t>供应商须具有建设行政主管部门颁发的市政公用工程施工总承包三级及以上资质，具有有效的安全生产许可证；拟派项目经理须具有市政公用工程专业注册建造师二级及以上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提交的响应文件有下列情况之一，其响应文件无效，评标委员会应写明无效理由。(1)响应文件中未按照磋商文件规定要求签署、盖章的；(2)投标有效期不足的或无有效期的；(3)投标报价超过磋商文件中规定的采购预算或最高限价或标的金额的；(4)不满足磋商文件中实质性条款要求的；(5)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根据供应商制定的项目施工方案及措施进行综合评审。 A.施工方案完整详细、有针对性，完全满足项目实施，具有优化建议的得[8-10]分； B.施工方案完整，可行，有针对性，能满足项目实施的全部要求的得[5-8）分； C.施工方案非专门针对本项目，存在逻辑漏洞或前后内容不一致的得[2-5）分； D.施工方案有较大缺陷，或完全套用其他项目且内容较少的得（0-2）分；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根据供应商制定的工程质量保证措施进行综合评审。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根据供应商制定的施工安全保证措施进行综合评审。 A.提供具体详细、有针对性的安全作业方案及安全配套措施，完全符合采购人安全作业要求且具有优化建议的，得[8-10]分； B.提供安全作业方案及安全配套措施，符合采购人安全作业的要求，得[5-8）分； C.提供的安全作业方案及安全配套措施非专门针对本项目，套用其他项目内容，存在逻辑漏洞或前后内容不一致的得[2-5）分； D.提供的安全作业方案及安全配套措施简陋，存在不利于采购人安全作业要求实现的，得（0-2）分。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根据供应商制定的施工进度计划及工期保证措施进行综合评审。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根据供应商制定的文明施工措施计划进行综合评审。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根据供应商提供的项目组织管理机构配备进行综合评审。 A.机构设置合理完善，人员配备齐全，技术经验丰富，人员专业性强，完全满足项目需求得[8-10]分； B.机构设置合理，人员配备齐全，且具备从业经验，满足项目需求得[5-8）分； C.机构设置非专门针对本项目，人员配备、技术经验有缺陷的得[2-5）分； D.机构设置、人员配备不完整，或无相关经验的得（0-2）分；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提供2022年至今类似项目业绩，响应文件中附有其业绩证明材料（中标通知书或合同复印件加盖公章）每提供一个计2.5分，满分5分。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质量保修承诺完整、合理及后续服务条款具体、可行，得[2-5）分；质量保修承诺含糊及后续服务条款基本可行，得（0-2）分，未提供不计分。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