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版本号：CQDL2025120520251203001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汉山街道办事处2025年散煤综合治理项目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CQDL20251205</w:t>
      </w:r>
      <w:r>
        <w:br/>
      </w:r>
      <w:r>
        <w:br/>
      </w:r>
      <w:r>
        <w:br/>
      </w:r>
    </w:p>
    <w:p>
      <w:pPr>
        <w:pStyle w:val="null3"/>
        <w:jc w:val="center"/>
        <w:outlineLvl w:val="2"/>
      </w:pPr>
      <w:r>
        <w:rPr>
          <w:rFonts w:ascii="仿宋_GB2312" w:hAnsi="仿宋_GB2312" w:cs="仿宋_GB2312" w:eastAsia="仿宋_GB2312"/>
          <w:sz w:val="28"/>
          <w:b/>
        </w:rPr>
        <w:t>汉中市南郑区汉山街道办事处</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汉中市南郑区汉山街道办事处</w:t>
      </w:r>
      <w:r>
        <w:rPr>
          <w:rFonts w:ascii="仿宋_GB2312" w:hAnsi="仿宋_GB2312" w:cs="仿宋_GB2312" w:eastAsia="仿宋_GB2312"/>
        </w:rPr>
        <w:t>委托，拟对</w:t>
      </w:r>
      <w:r>
        <w:rPr>
          <w:rFonts w:ascii="仿宋_GB2312" w:hAnsi="仿宋_GB2312" w:cs="仿宋_GB2312" w:eastAsia="仿宋_GB2312"/>
        </w:rPr>
        <w:t>汉山街道办事处2025年散煤综合治理项目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CQDL20251205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汉山街道办事处2025年散煤综合治理项目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采购壁挂炉及暖气片一批面向辖区群众发放安装，推进汉山街道办散煤治理工作。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汉山街道办南一环十字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汉中市南郑区汉山街道办事处经办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13809165600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汉中市南郑区汉山街道办事处</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汉中市南郑区汉山街道办事处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汉中市南郑区汉山街道办事处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陕西春秋工程项目管理有限公司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验收交付标准：供应商所供应的货物质量合格，满足国家有关质量规范要求，并满足采购文件要求的性能参数，全部安装完成，并能正常使用。验收方法：采购人、使用方、供应商共同确认验收。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采购壁挂炉及暖气片473套，面向辖区群众发放安装，替换散煤取暖，确保群众安全过冬，改善大气条件。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1,982,400.00</w:t>
      </w:r>
    </w:p>
    <w:p>
      <w:pPr>
        <w:pStyle w:val="null3"/>
      </w:pPr>
      <w:r>
        <w:rPr>
          <w:rFonts w:ascii="仿宋_GB2312" w:hAnsi="仿宋_GB2312" w:cs="仿宋_GB2312" w:eastAsia="仿宋_GB2312"/>
        </w:rPr>
        <w:t>采购包最高限价（元）: 1,982,400.00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壁挂炉及暖气片</w:t>
            </w:r>
          </w:p>
        </w:tc>
        <w:tc>
          <w:tcPr>
            <w:tcW w:type="dxa" w:w="831"/>
          </w:tcPr>
          <w:p>
            <w:pPr>
              <w:pStyle w:val="null3"/>
              <w:jc w:val="right"/>
            </w:pPr>
            <w:r>
              <w:rPr>
                <w:rFonts w:ascii="仿宋_GB2312" w:hAnsi="仿宋_GB2312" w:cs="仿宋_GB2312" w:eastAsia="仿宋_GB2312"/>
              </w:rPr>
              <w:t>472.00</w:t>
            </w:r>
          </w:p>
        </w:tc>
        <w:tc>
          <w:tcPr>
            <w:tcW w:type="dxa" w:w="831"/>
          </w:tcPr>
          <w:p>
            <w:pPr>
              <w:pStyle w:val="null3"/>
              <w:jc w:val="right"/>
            </w:pPr>
            <w:r>
              <w:rPr>
                <w:rFonts w:ascii="仿宋_GB2312" w:hAnsi="仿宋_GB2312" w:cs="仿宋_GB2312" w:eastAsia="仿宋_GB2312"/>
              </w:rPr>
              <w:t>1,982,400.00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标的名称：壁挂炉及暖气片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燃气壁挂炉技术参数（每户1台）</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额定热负荷</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24kW</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额定燃气压力</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2000Pa</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额定电压</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220V</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额定频率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50HZ</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外壳防护等级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IPX4</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电击防护等级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用途</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采暖和家用热水两用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热水产率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10L/min</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-80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生活热水温度调节范围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换热器材质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铜质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板换式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燃烧方式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分段燃烧</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能效等级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等于或优于二级能效</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热效率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89%</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操控方式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触控式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防冻功能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加热防冻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气源</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天然气（</w:t>
                  </w:r>
                  <w:r>
                    <w:rPr>
                      <w:rFonts w:ascii="仿宋_GB2312" w:hAnsi="仿宋_GB2312" w:cs="仿宋_GB2312" w:eastAsia="仿宋_GB2312"/>
                      <w:sz w:val="28"/>
                      <w:color w:val="000000"/>
                    </w:rPr>
                    <w:t>12T</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噪音值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正常工作状态下≤55dB (A)，符合 GB/T 17713-2011 相关要求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安全保护功能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应具备漏电保护、漏气保护、熄火保护等安全功能</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强制认证</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供应商所投标的物应满足《燃气采暖热水炉》（</w:t>
                  </w:r>
                  <w:r>
                    <w:rPr>
                      <w:rFonts w:ascii="仿宋_GB2312" w:hAnsi="仿宋_GB2312" w:cs="仿宋_GB2312" w:eastAsia="仿宋_GB2312"/>
                      <w:sz w:val="28"/>
                      <w:color w:val="000000"/>
                    </w:rPr>
                    <w:t>GB 25034-2020</w:t>
                  </w:r>
                  <w:r>
                    <w:rPr>
                      <w:rFonts w:ascii="仿宋_GB2312" w:hAnsi="仿宋_GB2312" w:cs="仿宋_GB2312" w:eastAsia="仿宋_GB2312"/>
                      <w:sz w:val="28"/>
                      <w:color w:val="000000"/>
                    </w:rPr>
                    <w:t>）国家标准；标的物须具有中国质量认证中心颁发的《中国国家强制性产品认证证书（</w:t>
                  </w:r>
                  <w:r>
                    <w:rPr>
                      <w:rFonts w:ascii="仿宋_GB2312" w:hAnsi="仿宋_GB2312" w:cs="仿宋_GB2312" w:eastAsia="仿宋_GB2312"/>
                      <w:sz w:val="28"/>
                      <w:color w:val="000000"/>
                    </w:rPr>
                    <w:t>3C</w:t>
                  </w:r>
                  <w:r>
                    <w:rPr>
                      <w:rFonts w:ascii="仿宋_GB2312" w:hAnsi="仿宋_GB2312" w:cs="仿宋_GB2312" w:eastAsia="仿宋_GB2312"/>
                      <w:sz w:val="28"/>
                      <w:color w:val="000000"/>
                    </w:rPr>
                    <w:t>强制认证），供应商需提供第三方检测机构出具的产品《国家强制性产品认证实验报告》</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暖气片技术参数（每户2组）</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钢制或铜铝复合材质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型号规格（高度×宽度）</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包括但不限于</w:t>
                  </w:r>
                  <w:r>
                    <w:rPr>
                      <w:rFonts w:ascii="仿宋_GB2312" w:hAnsi="仿宋_GB2312" w:cs="仿宋_GB2312" w:eastAsia="仿宋_GB2312"/>
                      <w:sz w:val="28"/>
                      <w:color w:val="000000"/>
                    </w:rPr>
                    <w:t>600</w:t>
                  </w:r>
                  <w:r>
                    <w:rPr>
                      <w:rFonts w:ascii="仿宋_GB2312" w:hAnsi="仿宋_GB2312" w:cs="仿宋_GB2312" w:eastAsia="仿宋_GB2312"/>
                      <w:sz w:val="28"/>
                      <w:color w:val="000000"/>
                    </w:rPr>
                    <w:t>×</w:t>
                  </w:r>
                  <w:r>
                    <w:rPr>
                      <w:rFonts w:ascii="仿宋_GB2312" w:hAnsi="仿宋_GB2312" w:cs="仿宋_GB2312" w:eastAsia="仿宋_GB2312"/>
                      <w:sz w:val="28"/>
                      <w:color w:val="000000"/>
                    </w:rPr>
                    <w:t>800mm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800</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w:t>
                  </w:r>
                  <w:r>
                    <w:rPr>
                      <w:rFonts w:ascii="仿宋_GB2312" w:hAnsi="仿宋_GB2312" w:cs="仿宋_GB2312" w:eastAsia="仿宋_GB2312"/>
                      <w:sz w:val="28"/>
                      <w:color w:val="000000"/>
                    </w:rPr>
                    <w:t>1200mm</w:t>
                  </w:r>
                  <w:r>
                    <w:rPr>
                      <w:rFonts w:ascii="仿宋_GB2312" w:hAnsi="仿宋_GB2312" w:cs="仿宋_GB2312" w:eastAsia="仿宋_GB2312"/>
                      <w:sz w:val="28"/>
                      <w:color w:val="000000"/>
                    </w:rPr>
                    <w:t>等规格</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单片散热面积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须标注单片片散热量（标准工况：Δ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℃，单位：</w:t>
                  </w:r>
                  <w:r>
                    <w:rPr>
                      <w:rFonts w:ascii="仿宋_GB2312" w:hAnsi="仿宋_GB2312" w:cs="仿宋_GB2312" w:eastAsia="仿宋_GB2312"/>
                      <w:sz w:val="28"/>
                      <w:color w:val="000000"/>
                    </w:rPr>
                    <w:t>W/</w:t>
                  </w:r>
                  <w:r>
                    <w:rPr>
                      <w:rFonts w:ascii="仿宋_GB2312" w:hAnsi="仿宋_GB2312" w:cs="仿宋_GB2312" w:eastAsia="仿宋_GB2312"/>
                      <w:sz w:val="28"/>
                      <w:color w:val="000000"/>
                    </w:rPr>
                    <w:t>片），且散热量数值需与对应型号的覆盖面积匹配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热工性能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额定散热量（Δ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w:t>
                  </w:r>
                  <w:r>
                    <w:rPr>
                      <w:rFonts w:ascii="仿宋_GB2312" w:hAnsi="仿宋_GB2312" w:cs="仿宋_GB2312" w:eastAsia="仿宋_GB2312"/>
                      <w:sz w:val="28"/>
                      <w:color w:val="000000"/>
                    </w:rPr>
                    <w:t>80-300W/</w:t>
                  </w:r>
                  <w:r>
                    <w:rPr>
                      <w:rFonts w:ascii="仿宋_GB2312" w:hAnsi="仿宋_GB2312" w:cs="仿宋_GB2312" w:eastAsia="仿宋_GB2312"/>
                      <w:sz w:val="28"/>
                      <w:color w:val="000000"/>
                    </w:rPr>
                    <w:t>片，工作压力</w:t>
                  </w:r>
                  <w:r>
                    <w:rPr>
                      <w:rFonts w:ascii="仿宋_GB2312" w:hAnsi="仿宋_GB2312" w:cs="仿宋_GB2312" w:eastAsia="仿宋_GB2312"/>
                      <w:sz w:val="28"/>
                      <w:color w:val="000000"/>
                    </w:rPr>
                    <w:t>0.4-1.0MPa</w:t>
                  </w:r>
                  <w:r>
                    <w:rPr>
                      <w:rFonts w:ascii="仿宋_GB2312" w:hAnsi="仿宋_GB2312" w:cs="仿宋_GB2312" w:eastAsia="仿宋_GB2312"/>
                      <w:sz w:val="28"/>
                      <w:color w:val="000000"/>
                    </w:rPr>
                    <w:t>需与壁挂炉工作压力匹配，适用水温</w:t>
                  </w:r>
                  <w:r>
                    <w:rPr>
                      <w:rFonts w:ascii="仿宋_GB2312" w:hAnsi="仿宋_GB2312" w:cs="仿宋_GB2312" w:eastAsia="仿宋_GB2312"/>
                      <w:sz w:val="28"/>
                      <w:color w:val="000000"/>
                    </w:rPr>
                    <w:t>30-80</w:t>
                  </w:r>
                  <w:r>
                    <w:rPr>
                      <w:rFonts w:ascii="仿宋_GB2312" w:hAnsi="仿宋_GB2312" w:cs="仿宋_GB2312" w:eastAsia="仿宋_GB2312"/>
                      <w:sz w:val="28"/>
                      <w:color w:val="000000"/>
                    </w:rPr>
                    <w:t>℃（供水）、</w:t>
                  </w:r>
                  <w:r>
                    <w:rPr>
                      <w:rFonts w:ascii="仿宋_GB2312" w:hAnsi="仿宋_GB2312" w:cs="仿宋_GB2312" w:eastAsia="仿宋_GB2312"/>
                      <w:sz w:val="28"/>
                      <w:color w:val="000000"/>
                    </w:rPr>
                    <w:t>30-60</w:t>
                  </w:r>
                  <w:r>
                    <w:rPr>
                      <w:rFonts w:ascii="仿宋_GB2312" w:hAnsi="仿宋_GB2312" w:cs="仿宋_GB2312" w:eastAsia="仿宋_GB2312"/>
                      <w:sz w:val="28"/>
                      <w:color w:val="000000"/>
                    </w:rPr>
                    <w:t>℃（回水）</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结构片数</w:t>
                  </w:r>
                  <w:r>
                    <w:rPr>
                      <w:rFonts w:ascii="仿宋_GB2312" w:hAnsi="仿宋_GB2312" w:cs="仿宋_GB2312" w:eastAsia="仿宋_GB2312"/>
                      <w:sz w:val="28"/>
                      <w:color w:val="000000"/>
                    </w:rPr>
                    <w:t>/</w:t>
                  </w:r>
                  <w:r>
                    <w:rPr>
                      <w:rFonts w:ascii="仿宋_GB2312" w:hAnsi="仿宋_GB2312" w:cs="仿宋_GB2312" w:eastAsia="仿宋_GB2312"/>
                      <w:sz w:val="28"/>
                      <w:color w:val="000000"/>
                    </w:rPr>
                    <w:t>组数</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单组</w:t>
                  </w:r>
                  <w:r>
                    <w:rPr>
                      <w:rFonts w:ascii="仿宋_GB2312" w:hAnsi="仿宋_GB2312" w:cs="仿宋_GB2312" w:eastAsia="仿宋_GB2312"/>
                      <w:sz w:val="28"/>
                      <w:color w:val="000000"/>
                    </w:rPr>
                    <w:t>3-15</w:t>
                  </w:r>
                  <w:r>
                    <w:rPr>
                      <w:rFonts w:ascii="仿宋_GB2312" w:hAnsi="仿宋_GB2312" w:cs="仿宋_GB2312" w:eastAsia="仿宋_GB2312"/>
                      <w:sz w:val="28"/>
                      <w:color w:val="000000"/>
                    </w:rPr>
                    <w:t>片（根据安装位置、散热片型号确定）</w:t>
                  </w:r>
                  <w:r>
                    <w:rPr>
                      <w:rFonts w:ascii="仿宋_GB2312" w:hAnsi="仿宋_GB2312" w:cs="仿宋_GB2312" w:eastAsia="仿宋_GB2312"/>
                      <w:sz w:val="28"/>
                      <w:color w:val="000000"/>
                    </w:rPr>
                    <w:t>/2</w:t>
                  </w:r>
                  <w:r>
                    <w:rPr>
                      <w:rFonts w:ascii="仿宋_GB2312" w:hAnsi="仿宋_GB2312" w:cs="仿宋_GB2312" w:eastAsia="仿宋_GB2312"/>
                      <w:sz w:val="28"/>
                      <w:color w:val="000000"/>
                    </w:rPr>
                    <w:t>组，每户散热面积≥</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供暖管道材质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PPR</w:t>
                  </w:r>
                  <w:r>
                    <w:rPr>
                      <w:rFonts w:ascii="仿宋_GB2312" w:hAnsi="仿宋_GB2312" w:cs="仿宋_GB2312" w:eastAsia="仿宋_GB2312"/>
                      <w:sz w:val="28"/>
                      <w:color w:val="000000"/>
                    </w:rPr>
                    <w:t>管或铝塑复合管</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接口规格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G1/2</w:t>
                  </w:r>
                  <w:r>
                    <w:rPr>
                      <w:rFonts w:ascii="仿宋_GB2312" w:hAnsi="仿宋_GB2312" w:cs="仿宋_GB2312" w:eastAsia="仿宋_GB2312"/>
                      <w:sz w:val="28"/>
                      <w:color w:val="000000"/>
                    </w:rPr>
                    <w:t>、</w:t>
                  </w:r>
                  <w:r>
                    <w:rPr>
                      <w:rFonts w:ascii="仿宋_GB2312" w:hAnsi="仿宋_GB2312" w:cs="仿宋_GB2312" w:eastAsia="仿宋_GB2312"/>
                      <w:sz w:val="28"/>
                      <w:color w:val="000000"/>
                    </w:rPr>
                    <w:t>G3/4</w:t>
                  </w:r>
                  <w:r>
                    <w:rPr>
                      <w:rFonts w:ascii="仿宋_GB2312" w:hAnsi="仿宋_GB2312" w:cs="仿宋_GB2312" w:eastAsia="仿宋_GB2312"/>
                      <w:sz w:val="28"/>
                      <w:color w:val="000000"/>
                    </w:rPr>
                    <w:t>（螺纹接口），与管道适配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壁厚</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钢制≥1.5mm;铜铝复合≥</w:t>
                  </w:r>
                  <w:r>
                    <w:rPr>
                      <w:rFonts w:ascii="仿宋_GB2312" w:hAnsi="仿宋_GB2312" w:cs="仿宋_GB2312" w:eastAsia="仿宋_GB2312"/>
                      <w:sz w:val="28"/>
                      <w:color w:val="000000"/>
                    </w:rPr>
                    <w:t>0.8mm</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表面处理</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静电喷塑、电泳涂层，涂层均匀、耐腐蚀性强</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安全、防腐性能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满足</w:t>
                  </w:r>
                  <w:r>
                    <w:rPr>
                      <w:rFonts w:ascii="仿宋_GB2312" w:hAnsi="仿宋_GB2312" w:cs="仿宋_GB2312" w:eastAsia="仿宋_GB2312"/>
                      <w:sz w:val="28"/>
                      <w:color w:val="000000"/>
                    </w:rPr>
                    <w:t>GB/T 29513.2-2013</w:t>
                  </w:r>
                  <w:r>
                    <w:rPr>
                      <w:rFonts w:ascii="仿宋_GB2312" w:hAnsi="仿宋_GB2312" w:cs="仿宋_GB2312" w:eastAsia="仿宋_GB2312"/>
                      <w:sz w:val="28"/>
                      <w:color w:val="000000"/>
                    </w:rPr>
                    <w:t>《采暖散热器第</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部分：要求》中防腐性能规定（其中：铜铝复合暖气片需符合“内防腐 </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 xml:space="preserve">外防腐”双重要求；密封性在 </w:t>
                  </w:r>
                  <w:r>
                    <w:rPr>
                      <w:rFonts w:ascii="仿宋_GB2312" w:hAnsi="仿宋_GB2312" w:cs="仿宋_GB2312" w:eastAsia="仿宋_GB2312"/>
                      <w:sz w:val="28"/>
                      <w:color w:val="000000"/>
                    </w:rPr>
                    <w:t>1.2MPa</w:t>
                  </w:r>
                  <w:r>
                    <w:rPr>
                      <w:rFonts w:ascii="仿宋_GB2312" w:hAnsi="仿宋_GB2312" w:cs="仿宋_GB2312" w:eastAsia="仿宋_GB2312"/>
                      <w:sz w:val="28"/>
                      <w:color w:val="000000"/>
                    </w:rPr>
                    <w:t>压力下保压</w:t>
                  </w:r>
                  <w:r>
                    <w:rPr>
                      <w:rFonts w:ascii="仿宋_GB2312" w:hAnsi="仿宋_GB2312" w:cs="仿宋_GB2312" w:eastAsia="仿宋_GB2312"/>
                      <w:sz w:val="28"/>
                      <w:color w:val="000000"/>
                    </w:rPr>
                    <w:t>30</w:t>
                  </w:r>
                  <w:r>
                    <w:rPr>
                      <w:rFonts w:ascii="仿宋_GB2312" w:hAnsi="仿宋_GB2312" w:cs="仿宋_GB2312" w:eastAsia="仿宋_GB2312"/>
                      <w:sz w:val="28"/>
                      <w:color w:val="000000"/>
                    </w:rPr>
                    <w:t>分钟无渗漏，接口密封可靠；同时符合</w:t>
                  </w:r>
                  <w:r>
                    <w:rPr>
                      <w:rFonts w:ascii="仿宋_GB2312" w:hAnsi="仿宋_GB2312" w:cs="仿宋_GB2312" w:eastAsia="仿宋_GB2312"/>
                      <w:sz w:val="28"/>
                      <w:color w:val="000000"/>
                    </w:rPr>
                    <w:t>GB/T 15114-2021</w:t>
                  </w:r>
                  <w:r>
                    <w:rPr>
                      <w:rFonts w:ascii="仿宋_GB2312" w:hAnsi="仿宋_GB2312" w:cs="仿宋_GB2312" w:eastAsia="仿宋_GB2312"/>
                      <w:sz w:val="28"/>
                      <w:color w:val="000000"/>
                    </w:rPr>
                    <w:t>《铝合金压铸件》（铜铝复合材质）中对应的防腐等级要求。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环保指标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涂层</w:t>
                  </w:r>
                  <w:r>
                    <w:rPr>
                      <w:rFonts w:ascii="仿宋_GB2312" w:hAnsi="仿宋_GB2312" w:cs="仿宋_GB2312" w:eastAsia="仿宋_GB2312"/>
                      <w:sz w:val="28"/>
                      <w:color w:val="000000"/>
                    </w:rPr>
                    <w:t>VOC</w:t>
                  </w:r>
                  <w:r>
                    <w:rPr>
                      <w:rFonts w:ascii="仿宋_GB2312" w:hAnsi="仿宋_GB2312" w:cs="仿宋_GB2312" w:eastAsia="仿宋_GB2312"/>
                      <w:sz w:val="28"/>
                      <w:color w:val="000000"/>
                    </w:rPr>
                    <w:t>含量≤</w:t>
                  </w:r>
                  <w:r>
                    <w:rPr>
                      <w:rFonts w:ascii="仿宋_GB2312" w:hAnsi="仿宋_GB2312" w:cs="仿宋_GB2312" w:eastAsia="仿宋_GB2312"/>
                      <w:sz w:val="28"/>
                      <w:color w:val="000000"/>
                    </w:rPr>
                    <w:t>50g/L</w:t>
                  </w:r>
                  <w:r>
                    <w:rPr>
                      <w:rFonts w:ascii="仿宋_GB2312" w:hAnsi="仿宋_GB2312" w:cs="仿宋_GB2312" w:eastAsia="仿宋_GB2312"/>
                      <w:sz w:val="28"/>
                      <w:color w:val="000000"/>
                    </w:rPr>
                    <w:t>，无异味 符合环保标准</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使用寿命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年（正常使用条件）</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安装方式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壁挂式</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合同签订后30日历天内完成供货并安装到位。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汉中市南郑区汉山街道办</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供货进度达到50%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全部交付完成，安装到位后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1、包装：应采取防潮、防晒、防腐蚀、防震动及防止其它损坏的必要措施。供应商应承担由于其包装或防护措施不妥而引起的货物锈蚀、损坏和丢失等任何损失造成的责任或费用。 2、运输：选择运输风险小、运费低、距离短的运输路线。运杂费一次包死在投标报价内，包括生产厂到交付现场所需的装卸、运输（含保险费）、现场保管费、二次倒运费等费用。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燃气采暖壁挂炉质保期：整机质保≥3年。 暖气片质保期≥1年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产品质量合格，且符合相应产品的国家及行业标准；所有货物及辅材必须是未使用过的新产品，质量优良、渠道正当，配置合理，符合国家及行业有关质量要求，如有违反，供应商应承担一切责任。 （2）质保期要求 ①燃气采暖热水炉质保期：整机质保≥3年。 ②暖气片质保期≥1年。 ③供应商应在响应文件中列明质保的范围及质保年限。 ④质保期出现的质量问题由成交供应商负责解决并承担所有费用；质保期后如需更换零部件，供应商应以优惠价提供。 （2）安装调试 ①安装 a.供应商的响应报价中应包含产品安装、辅材、配套管道、分水器、开孔等全部费用，不得向用户及采购人额外收取任何费用。 b.安装过程中，供应商应指派专业技术人员提供安装服务（特种作业人员应持证上岗），应严格按照产品说明书及安装规范进行操作，确保产品安装到位。安装操作规范合理，符合国家、行业相关标准。 c.安装完成后应对产品进行全面检查，确保所有部件安装到位、功能正常；安装过程中，若发现任何产品质量问题，供应商应无理由更换，直至问题解决。 ②调试 a.供应商应提供详尽的产品说明书，并指导用户使用。 b.调试过程中，出现异常情况，供应商应提供技术支持，协助用户解决问题。 （3）售后服务 ①供应商必须为用户提供7*24小时电话服务和技术支持。 ②在接到用户故障通知后，3小时内响应，6小时内到达现场解决故障，供应商未能在规定时间内到达现场的，采购人有权要求供应商给用户合理的经济赔偿。由于产品本身缺陷发生故障或损坏而造成的损失，全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谈判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投标人名称是否与营业执照、公章一致</w:t>
            </w:r>
          </w:p>
        </w:tc>
        <w:tc>
          <w:tcPr>
            <w:tcW w:type="dxa" w:w="3322"/>
          </w:tcPr>
          <w:p>
            <w:pPr>
              <w:pStyle w:val="null3"/>
            </w:pPr>
            <w:r>
              <w:rPr>
                <w:rFonts w:ascii="仿宋_GB2312" w:hAnsi="仿宋_GB2312" w:cs="仿宋_GB2312" w:eastAsia="仿宋_GB2312"/>
              </w:rPr>
              <w:t>投标人名称应与营业执照、公章一致</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响应文件是否按竞争性谈判文件要求签署、盖章</w:t>
            </w:r>
          </w:p>
        </w:tc>
        <w:tc>
          <w:tcPr>
            <w:tcW w:type="dxa" w:w="3322"/>
          </w:tcPr>
          <w:p>
            <w:pPr>
              <w:pStyle w:val="null3"/>
            </w:pPr>
            <w:r>
              <w:rPr>
                <w:rFonts w:ascii="仿宋_GB2312" w:hAnsi="仿宋_GB2312" w:cs="仿宋_GB2312" w:eastAsia="仿宋_GB2312"/>
              </w:rPr>
              <w:t>响应文件应当按竞争性谈判文件要求进行电子签章</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供应商编制的项目实施方案</w:t>
            </w:r>
          </w:p>
        </w:tc>
        <w:tc>
          <w:tcPr>
            <w:tcW w:type="dxa" w:w="3322"/>
          </w:tcPr>
          <w:p>
            <w:pPr>
              <w:pStyle w:val="null3"/>
            </w:pPr>
            <w:r>
              <w:rPr>
                <w:rFonts w:ascii="仿宋_GB2312" w:hAnsi="仿宋_GB2312" w:cs="仿宋_GB2312" w:eastAsia="仿宋_GB2312"/>
              </w:rPr>
              <w:t>供应商应针对项目采购标的物、技术参数要求、供货周期、交付安装等方面要求编制详尽的、贴合项目实际的实施方案，至少应包括供货方案、质量保证措施、安装方案、售后服务方案等方面以满足采购项目需求。谈判小组认为供应商的方案简单，与项目实际需求不符，无法满足采购项目需求的，可将其响应文件作为无效处理。</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核心产品技术参数不允许负偏离，供应商应在响应文件提供能够证明核心产品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 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响应文件不应存在法律、法规和竞争性谈判文件 规定的其他无效情形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