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版本号：ZJDY-HZCG-2025-01620251203001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汉中市南郑区2026年农村污水处理设施运维服务项目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ZJDY-HZCG-2025-016</w:t>
      </w:r>
      <w:r>
        <w:br/>
      </w:r>
      <w:r>
        <w:br/>
      </w:r>
      <w:r>
        <w:br/>
      </w:r>
    </w:p>
    <w:p>
      <w:pPr>
        <w:pStyle w:val="null3"/>
        <w:jc w:val="center"/>
        <w:outlineLvl w:val="2"/>
      </w:pPr>
      <w:r>
        <w:rPr>
          <w:rFonts w:ascii="仿宋_GB2312" w:hAnsi="仿宋_GB2312" w:cs="仿宋_GB2312" w:eastAsia="仿宋_GB2312"/>
          <w:sz w:val="28"/>
          <w:b/>
        </w:rPr>
        <w:t>汉中市生态环境局南郑分局</w:t>
      </w:r>
    </w:p>
    <w:p>
      <w:pPr>
        <w:pStyle w:val="null3"/>
        <w:jc w:val="center"/>
        <w:outlineLvl w:val="2"/>
      </w:pPr>
      <w:r>
        <w:rPr>
          <w:rFonts w:ascii="仿宋_GB2312" w:hAnsi="仿宋_GB2312" w:cs="仿宋_GB2312" w:eastAsia="仿宋_GB2312"/>
          <w:sz w:val="28"/>
          <w:b/>
        </w:rPr>
        <w:t>中佳鼎运建设管理有限公司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中佳鼎运建设管理有限公司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汉中市生态环境局南郑分局</w:t>
      </w:r>
      <w:r>
        <w:rPr>
          <w:rFonts w:ascii="仿宋_GB2312" w:hAnsi="仿宋_GB2312" w:cs="仿宋_GB2312" w:eastAsia="仿宋_GB2312"/>
        </w:rPr>
        <w:t>委托，拟对</w:t>
      </w:r>
      <w:r>
        <w:rPr>
          <w:rFonts w:ascii="仿宋_GB2312" w:hAnsi="仿宋_GB2312" w:cs="仿宋_GB2312" w:eastAsia="仿宋_GB2312"/>
        </w:rPr>
        <w:t>汉中市南郑区2026年农村污水处理设施运维服务项目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ZJDY-HZCG-2025-016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汉中市南郑区2026年农村污水处理设施运维服务项目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南郑区2026年农村污水处理设施运维服务项目;主要功能或目标:保障全区农村污水处理设施正常运行;需满足的要求:按照运行维护管理要求，对全区村级农村污水处理站提供运行维护服务，落实运行维护措施，确保正常运行，出水水质达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采购包1（汉中市南郑区2026年农村污水处理设施运维服务项目）：属于专门面向中小企业采购。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汉中市南郑区汉山街道办水井巷4号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汉中市生态环境局南郑分局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0916-5516377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中佳鼎运建设管理有限公司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四川省成都市武侯区成都市武侯区佳灵路5号1栋11层1117号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邹丽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17868465986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开户名称：中佳鼎运建设管理有限公司汉中分公司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银行账号：2606053909200098484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代理服务费收费标准：按计价（2002）1980号和发改办价格（2003）857号标准收费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汉中市生态环境局南郑分局</w:t>
      </w:r>
      <w:r>
        <w:rPr>
          <w:rFonts w:ascii="仿宋_GB2312" w:hAnsi="仿宋_GB2312" w:cs="仿宋_GB2312" w:eastAsia="仿宋_GB2312"/>
        </w:rPr>
        <w:t>和</w:t>
      </w:r>
      <w:r>
        <w:rPr>
          <w:rFonts w:ascii="仿宋_GB2312" w:hAnsi="仿宋_GB2312" w:cs="仿宋_GB2312" w:eastAsia="仿宋_GB2312"/>
        </w:rPr>
        <w:t>中佳鼎运建设管理有限公司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汉中市生态环境局南郑分局</w:t>
      </w:r>
      <w:r>
        <w:rPr>
          <w:rFonts w:ascii="仿宋_GB2312" w:hAnsi="仿宋_GB2312" w:cs="仿宋_GB2312" w:eastAsia="仿宋_GB2312"/>
        </w:rPr>
        <w:t>负责解释。除上述招标文件内容，其他内容由</w:t>
      </w:r>
      <w:r>
        <w:rPr>
          <w:rFonts w:ascii="仿宋_GB2312" w:hAnsi="仿宋_GB2312" w:cs="仿宋_GB2312" w:eastAsia="仿宋_GB2312"/>
        </w:rPr>
        <w:t>中佳鼎运建设管理有限公司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中佳鼎运建设管理有限公司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符合国家有关规范标准和要求。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中佳鼎运建设管理有限公司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中佳鼎运建设管理有限公司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中佳鼎运建设管理有限公司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联系人：宁工</w:t>
      </w:r>
    </w:p>
    <w:p>
      <w:pPr>
        <w:pStyle w:val="null3"/>
      </w:pPr>
      <w:r>
        <w:rPr>
          <w:rFonts w:ascii="仿宋_GB2312" w:hAnsi="仿宋_GB2312" w:cs="仿宋_GB2312" w:eastAsia="仿宋_GB2312"/>
        </w:rPr>
        <w:t>联系电话：17868465986</w:t>
      </w:r>
    </w:p>
    <w:p>
      <w:pPr>
        <w:pStyle w:val="null3"/>
      </w:pPr>
      <w:r>
        <w:rPr>
          <w:rFonts w:ascii="仿宋_GB2312" w:hAnsi="仿宋_GB2312" w:cs="仿宋_GB2312" w:eastAsia="仿宋_GB2312"/>
        </w:rPr>
        <w:t>地址：陕西省汉中市汉台区东关街道办事处中饮国际办公中心C区-8-8026号</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2026年农村污水处理设施运维服务项目;主要功能或目标:保障全区农村污水处理设施正常运行;需满足的要求:按照运行维护管理要求，对全区村级农村污水处理站提供运行维护服务，落实运行维护措施，确保正常运行，出水水质达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总要求：按照运行维护管理要求，对全区35个村级已建成的农村污水处理站及配套泵站提供运行维护服务（包含与泵站相连的上下游各3个检查井的检修、和污水处理站相连的上游3个检查井检修），落实运行维护措施，确保正常运行，出水水质达标。编制运维管理方案经委托方审核同意后实施；巡检、管网维护、水质监测（每季度一次，同时监测进水和出水相关指标）、设备用电、系统维护等达到委托方管理要求；及时清淤及安全有效处置污泥沉渣；安排有技术人员24小时待岗，1小时内（夜间2小时内）到岗。在建的污水处理站，验收合格后交由中标单位一并运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三年。自合同签订之日起一年。本项目采取一次招标三年沿用、实行一年一考核一签合同的办法。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符合国家有关规范标准和要求。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达到验收标准后，按阶段进行付款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达到验收标准后，按阶段进行付款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达到验收标准后，按阶段进行付款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对汉中市南郑区2026年农村污水处理设施运维服务项目，委托第三方专业运维公司进行运行维护，内容主要包括：日常维护保养、设备日常巡检、故障维修、日常监测。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需出具非联合体投标承诺书</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服务内容及服务邀请应答表 商务应答表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服务内容及服务邀请应答表 商务应答表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根据供应商提供的项目运营方案进行综合审核（供应商提供运营方案，包括但不限于主要维护工作内容，设备维修，配件更换、巡查项目及周期，备品备件及故障处理措施，及时有效等方案完善，思路清晰，逻辑严密，符合相关规范及地方法规要求，有较强的指导性及可操作性。） 一、评审内容 针对本项目制订的运营方案，包括①工作部署②细化工作方法③具体检查方法④组织方案⑤服务措施。 二、赋分标准 1、完整性：方案内容完整全面，对上述各项内容均有详细描述及说明，得7分；缺1项，得5分；缺2项，得3分；缺3项，得1分；缺4项，得0.5分。 2、针对性：针对性强，得7分；针对性一般，得4分；缺乏针对性，得2分。 3、可实施性：可实施性强，得6分；可实施性一般，得3分；缺乏可实施性，得1分。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服务质量保证措施，结合本项目实际情况、有详细完整的服务质量保证措施。 一、评审内容 供应商针对本项目制定具体的质量保证措施，包含①建立质量控制体系②内控制度：服务质量监督考核办法、奖惩制定、问责机制工作制度完备③保障措施。 二、赋分标准 1、完整性：方案内容完整全面，对上述各项内容均有详细描述及说明，得4分；缺1项，得1.2分；缺2项，得1分。 2、针对性：针对性强，得4分；针对性一般，得2分；缺乏针对性，得1分。 3、可实施性：可实施性强，得4分；可实施性一般，得2分；缺乏可实施性，得1分。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进度保证方案提供项目实施的进度安排及按时完成工作内容的保证措施。 一、评审内容供应商根据本项目特点提出进度保证措施，内容包括：①项目进度安排；②进度保障措施。 二、评审标准 1.合理性（6 分）：以明确各阶段节点，总周期符合需求得5 分；周期符合但未体现流程图得3分 ；周期不符得0 分； 2. 针对性（4分）：针对性强，得4分；针对性一般，得2分；缺乏针对性，得1分。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重难点分析及控制措施根据项目具体情况提出难点、重点进行分析并提出控制措施。 一、评审内容 供应商根据本项目特点提出对本项目重难点认识方案，内容包括：①重点认识方案；②难点认识方案。 二、评审标准 ①重点认识方案 1.合理性（2分）：准确识别“检测方法、数据时效、报告合规”3 项核心重点得2分；识别 2 项核心重点得1分；识别 1 项或识别错误得0-0.5分； 2. 针对性 (2分）：每项重点对应具体保障措施（如设备配置、人员安排）得2分；2项重点有措施得1分；1项或无措施得0-0.5 分 。 ②难点认识方案 ： 1.合理性（2 分）：准确预判“采样难度、样品保存、多部门协同”3 项核心难点得2分；预判 2 项核心难点得1分；预判1项或错误得0-0.5分。 2. 针对性（1分）：每项难点对应可操作解决方案（如技术方法、流程优化）得1 分；2项难点有方案得0.5分；1项或无方案得0-0.5分。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应急预案针对服务过程中各类突发事件提供应急响应方案。 内容包括：①应急保障措施。 评审标准 ： 1. 合理性（5分）：包含组织架构、响应流程、联络机制 3 项要素得5 分；包含 2 项要素得3分；包含1项及以下得1分 。 2. 针对性（5 分）：针对河流污染、人员中毒2 类场景制定方案得5 分；针对 1类场景得3 分；无具体场景得1分。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拟投入本项目实施服务人员</w:t>
            </w:r>
          </w:p>
        </w:tc>
        <w:tc>
          <w:tcPr>
            <w:tcW w:type="dxa" w:w="2492"/>
          </w:tcPr>
          <w:p>
            <w:pPr>
              <w:pStyle w:val="null3"/>
            </w:pPr>
            <w:r>
              <w:rPr>
                <w:rFonts w:ascii="仿宋_GB2312" w:hAnsi="仿宋_GB2312" w:cs="仿宋_GB2312" w:eastAsia="仿宋_GB2312"/>
              </w:rPr>
              <w:t>拟投入本项目实施服务人员 根据供应商提供的拟派项目实施服务人员情况进行评审。 （1）拟投入人员结构合理，经验丰富，能够满足运维周期需要得10分； （2）拟投入人员结构基本合理，有基本的从业经验，基本能够满足运维周期需要得6分； （3）拟投入人员结构不够合理，经验有欠缺，不能够满足运维周期需要得3分。注：须提供身份证或毕业证或岗位证书等。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定期组织操作及维护人员技术培训，有完整的培训方案，列出详细的培训内容、培训方式等说明。 总体方案详细、思路清晰，可行性高，对项目方向的理解准确、针对性强，与采购内容及要求契合度高，包括①服务目标②管理理念③重难点分析及保障措施④项目进驻及筹备程序。（1）完整性：方案内容完整全面，对上述各项内容均有详细描述及说明，得4分；缺1项，得3.5分；缺2项，得3分；缺3项，得2分。（2）针对性：针对性强，得3分；针对性一般，得2分；缺乏针对性，得0.5分。（3）可实施性：可实施性强，得3分；可实施性一般，得2分；缺乏可实施性，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各供应商应完整、准确地表述出针对本次项目的服务承诺（包含针对本项目的服务质量目标、服务期限及服务过程中的人员到岗情况等） 1、承诺：上岗人员固定，按磋商响应文件人员清单配备落实，不随意更换，若出现人员因事、病等不能工作的，及时调整人员补充，确保检测工作正常进行，得3分，无承诺不得分。 2、承诺：储备可调度人员，调度人员能够保障临时性工作需要及处置突发事件，得3分，无承诺不得分。 3、承诺:磋商响应文件中提供的主要检测设备落实到位，所有检测仪器设备经专业计量校准单位进行校准且在有效期内，得3分，无承诺不得分。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供应商提供2022年1月1日至今类似项目业绩，1.提供一个得2分；2.提供两个得4分，未提供不得分。（提供合同或中标通知书）。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计分采用低价优先法计算，即满足招标文件要求且投标价格最低的投标报价为评标基准价，其投标报价得分为10分；其他合格供应商统一按照下列公式计算：投标报价得分＝评标基准价／投标报价x10x100%。2、报价不完整的，不进入评标基准价的计算，本项得0分。3、供应商的最终总报价超过采购预算，其响应文件将视为无效。4、本项目专门面向中小企业采购，评审时不再进行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