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38FA4">
      <w:pPr>
        <w:pStyle w:val="5"/>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6FE80E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注：本合同为示范文本，具体条款内容由甲方和乙方协商确定，但不得改变招标文件、投标文件、中标通知书里的实质性内容。）</w:t>
      </w:r>
    </w:p>
    <w:p w14:paraId="1F54DCCB">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14:paraId="30EA3327">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14:paraId="3FE67893">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14:paraId="13E271C5">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5CB3DBB3">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14:paraId="15EE89CA">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14:paraId="31357CAF">
      <w:pPr>
        <w:pStyle w:val="13"/>
        <w:spacing w:line="360" w:lineRule="auto"/>
        <w:outlineLvl w:val="1"/>
        <w:rPr>
          <w:rFonts w:hint="eastAsia" w:ascii="仿宋" w:hAnsi="仿宋" w:eastAsia="仿宋" w:cs="仿宋"/>
          <w:b/>
          <w:color w:val="auto"/>
          <w:highlight w:val="none"/>
        </w:rPr>
      </w:pPr>
      <w:bookmarkStart w:id="0" w:name="_Toc8686"/>
      <w:bookmarkStart w:id="1" w:name="_Toc3373"/>
      <w:bookmarkStart w:id="2" w:name="_Toc18934"/>
      <w:r>
        <w:rPr>
          <w:rFonts w:hint="eastAsia" w:ascii="仿宋" w:hAnsi="仿宋" w:eastAsia="仿宋" w:cs="仿宋"/>
          <w:b/>
          <w:color w:val="auto"/>
          <w:highlight w:val="none"/>
        </w:rPr>
        <w:t>第一条 合同标的及数量</w:t>
      </w:r>
      <w:bookmarkEnd w:id="0"/>
      <w:bookmarkEnd w:id="1"/>
      <w:bookmarkEnd w:id="2"/>
    </w:p>
    <w:p w14:paraId="1624B444">
      <w:pPr>
        <w:pStyle w:val="13"/>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14:paraId="5690B7F8">
      <w:pPr>
        <w:pStyle w:val="7"/>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1"/>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14:paraId="12F00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5FB39E0D">
            <w:pPr>
              <w:outlineLvl w:val="9"/>
              <w:rPr>
                <w:rFonts w:hint="eastAsia" w:ascii="仿宋" w:hAnsi="仿宋" w:eastAsia="仿宋" w:cs="仿宋"/>
                <w:color w:val="auto"/>
                <w:sz w:val="24"/>
                <w:szCs w:val="24"/>
                <w:highlight w:val="none"/>
              </w:rPr>
            </w:pPr>
            <w:bookmarkStart w:id="3" w:name="_Toc26294"/>
            <w:bookmarkStart w:id="4" w:name="_Toc7471"/>
            <w:bookmarkStart w:id="5" w:name="_Toc31400"/>
            <w:bookmarkStart w:id="6" w:name="_Toc1631"/>
            <w:bookmarkStart w:id="7" w:name="_Toc21343"/>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14:paraId="5884F11E">
            <w:pPr>
              <w:jc w:val="center"/>
              <w:outlineLvl w:val="9"/>
              <w:rPr>
                <w:rFonts w:hint="eastAsia" w:ascii="仿宋" w:hAnsi="仿宋" w:eastAsia="仿宋" w:cs="仿宋"/>
                <w:color w:val="auto"/>
                <w:sz w:val="24"/>
                <w:szCs w:val="24"/>
                <w:highlight w:val="none"/>
              </w:rPr>
            </w:pPr>
            <w:bookmarkStart w:id="8" w:name="_Toc22389"/>
            <w:bookmarkStart w:id="9" w:name="_Toc678"/>
            <w:bookmarkStart w:id="10" w:name="_Toc6445"/>
            <w:bookmarkStart w:id="11" w:name="_Toc23183"/>
            <w:bookmarkStart w:id="12" w:name="_Toc3968"/>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14:paraId="5F637E58">
            <w:pPr>
              <w:outlineLvl w:val="9"/>
              <w:rPr>
                <w:rFonts w:hint="eastAsia" w:ascii="仿宋" w:hAnsi="仿宋" w:eastAsia="仿宋" w:cs="仿宋"/>
                <w:color w:val="auto"/>
                <w:sz w:val="24"/>
                <w:szCs w:val="24"/>
                <w:highlight w:val="none"/>
              </w:rPr>
            </w:pPr>
            <w:bookmarkStart w:id="13" w:name="_Toc31540"/>
            <w:bookmarkStart w:id="14" w:name="_Toc5820"/>
            <w:bookmarkStart w:id="15" w:name="_Toc6213"/>
            <w:bookmarkStart w:id="16" w:name="_Toc16370"/>
            <w:bookmarkStart w:id="17" w:name="_Toc13493"/>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14:paraId="1D36DE46">
            <w:pPr>
              <w:outlineLvl w:val="9"/>
              <w:rPr>
                <w:rFonts w:hint="eastAsia" w:ascii="仿宋" w:hAnsi="仿宋" w:eastAsia="仿宋" w:cs="仿宋"/>
                <w:color w:val="auto"/>
                <w:sz w:val="24"/>
                <w:szCs w:val="24"/>
                <w:highlight w:val="none"/>
              </w:rPr>
            </w:pPr>
            <w:bookmarkStart w:id="18" w:name="_Toc3931"/>
            <w:bookmarkStart w:id="19" w:name="_Toc15931"/>
            <w:bookmarkStart w:id="20" w:name="_Toc21205"/>
            <w:bookmarkStart w:id="21" w:name="_Toc3362"/>
            <w:bookmarkStart w:id="22" w:name="_Toc5177"/>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14:paraId="47A61425">
            <w:pPr>
              <w:outlineLvl w:val="9"/>
              <w:rPr>
                <w:rFonts w:hint="eastAsia" w:ascii="仿宋" w:hAnsi="仿宋" w:eastAsia="仿宋" w:cs="仿宋"/>
                <w:color w:val="auto"/>
                <w:sz w:val="24"/>
                <w:szCs w:val="24"/>
                <w:highlight w:val="none"/>
              </w:rPr>
            </w:pPr>
            <w:bookmarkStart w:id="23" w:name="_Toc30791"/>
            <w:bookmarkStart w:id="24" w:name="_Toc18669"/>
            <w:bookmarkStart w:id="25" w:name="_Toc8364"/>
            <w:bookmarkStart w:id="26" w:name="_Toc13801"/>
            <w:bookmarkStart w:id="27" w:name="_Toc16004"/>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14:paraId="32A22B77">
            <w:pPr>
              <w:outlineLvl w:val="9"/>
              <w:rPr>
                <w:rFonts w:hint="eastAsia" w:ascii="仿宋" w:hAnsi="仿宋" w:eastAsia="仿宋" w:cs="仿宋"/>
                <w:color w:val="auto"/>
                <w:sz w:val="24"/>
                <w:szCs w:val="24"/>
                <w:highlight w:val="none"/>
              </w:rPr>
            </w:pPr>
            <w:bookmarkStart w:id="28" w:name="_Toc9231"/>
            <w:bookmarkStart w:id="29" w:name="_Toc609"/>
            <w:bookmarkStart w:id="30" w:name="_Toc19134"/>
            <w:bookmarkStart w:id="31" w:name="_Toc29871"/>
            <w:bookmarkStart w:id="32" w:name="_Toc24569"/>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14:paraId="2D5CC96A">
            <w:pPr>
              <w:outlineLvl w:val="9"/>
              <w:rPr>
                <w:rFonts w:hint="eastAsia" w:ascii="仿宋" w:hAnsi="仿宋" w:eastAsia="仿宋" w:cs="仿宋"/>
                <w:color w:val="auto"/>
                <w:sz w:val="24"/>
                <w:szCs w:val="24"/>
                <w:highlight w:val="none"/>
              </w:rPr>
            </w:pPr>
            <w:bookmarkStart w:id="33" w:name="_Toc22269"/>
            <w:bookmarkStart w:id="34" w:name="_Toc23932"/>
            <w:bookmarkStart w:id="35" w:name="_Toc1373"/>
            <w:bookmarkStart w:id="36" w:name="_Toc29589"/>
            <w:bookmarkStart w:id="37" w:name="_Toc5020"/>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14:paraId="5A3DD7D9">
            <w:pPr>
              <w:ind w:left="236" w:hanging="235" w:hangingChars="98"/>
              <w:outlineLvl w:val="9"/>
              <w:rPr>
                <w:rFonts w:hint="eastAsia" w:ascii="仿宋" w:hAnsi="仿宋" w:eastAsia="仿宋" w:cs="仿宋"/>
                <w:color w:val="auto"/>
                <w:sz w:val="24"/>
                <w:szCs w:val="24"/>
                <w:highlight w:val="none"/>
              </w:rPr>
            </w:pPr>
            <w:bookmarkStart w:id="38" w:name="_Toc32579"/>
            <w:bookmarkStart w:id="39" w:name="_Toc23619"/>
            <w:bookmarkStart w:id="40" w:name="_Toc14510"/>
            <w:bookmarkStart w:id="41" w:name="_Toc26062"/>
            <w:bookmarkStart w:id="42" w:name="_Toc17545"/>
            <w:r>
              <w:rPr>
                <w:rFonts w:hint="eastAsia" w:ascii="仿宋" w:hAnsi="仿宋" w:eastAsia="仿宋" w:cs="仿宋"/>
                <w:color w:val="auto"/>
                <w:sz w:val="24"/>
                <w:szCs w:val="24"/>
                <w:highlight w:val="none"/>
              </w:rPr>
              <w:t>金额 (元)</w:t>
            </w:r>
            <w:bookmarkEnd w:id="38"/>
            <w:bookmarkEnd w:id="39"/>
            <w:bookmarkEnd w:id="40"/>
            <w:bookmarkEnd w:id="41"/>
            <w:bookmarkEnd w:id="42"/>
          </w:p>
        </w:tc>
      </w:tr>
      <w:tr w14:paraId="09B44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04F4254">
            <w:pPr>
              <w:outlineLvl w:val="9"/>
              <w:rPr>
                <w:rFonts w:hint="eastAsia" w:ascii="仿宋" w:hAnsi="仿宋" w:eastAsia="仿宋" w:cs="仿宋"/>
                <w:color w:val="auto"/>
                <w:sz w:val="24"/>
                <w:szCs w:val="24"/>
                <w:highlight w:val="none"/>
              </w:rPr>
            </w:pPr>
          </w:p>
        </w:tc>
        <w:tc>
          <w:tcPr>
            <w:tcW w:w="1461" w:type="dxa"/>
          </w:tcPr>
          <w:p w14:paraId="265CA89F">
            <w:pPr>
              <w:outlineLvl w:val="9"/>
              <w:rPr>
                <w:rFonts w:hint="eastAsia" w:ascii="仿宋" w:hAnsi="仿宋" w:eastAsia="仿宋" w:cs="仿宋"/>
                <w:color w:val="auto"/>
                <w:sz w:val="24"/>
                <w:szCs w:val="24"/>
                <w:highlight w:val="none"/>
              </w:rPr>
            </w:pPr>
          </w:p>
        </w:tc>
        <w:tc>
          <w:tcPr>
            <w:tcW w:w="1623" w:type="dxa"/>
          </w:tcPr>
          <w:p w14:paraId="23A5FEA2">
            <w:pPr>
              <w:outlineLvl w:val="9"/>
              <w:rPr>
                <w:rFonts w:hint="eastAsia" w:ascii="仿宋" w:hAnsi="仿宋" w:eastAsia="仿宋" w:cs="仿宋"/>
                <w:color w:val="auto"/>
                <w:sz w:val="24"/>
                <w:szCs w:val="24"/>
                <w:highlight w:val="none"/>
              </w:rPr>
            </w:pPr>
          </w:p>
        </w:tc>
        <w:tc>
          <w:tcPr>
            <w:tcW w:w="832" w:type="dxa"/>
          </w:tcPr>
          <w:p w14:paraId="792DAEEA">
            <w:pPr>
              <w:outlineLvl w:val="9"/>
              <w:rPr>
                <w:rFonts w:hint="eastAsia" w:ascii="仿宋" w:hAnsi="仿宋" w:eastAsia="仿宋" w:cs="仿宋"/>
                <w:color w:val="auto"/>
                <w:sz w:val="24"/>
                <w:szCs w:val="24"/>
                <w:highlight w:val="none"/>
              </w:rPr>
            </w:pPr>
          </w:p>
        </w:tc>
        <w:tc>
          <w:tcPr>
            <w:tcW w:w="822" w:type="dxa"/>
          </w:tcPr>
          <w:p w14:paraId="3639025D">
            <w:pPr>
              <w:outlineLvl w:val="9"/>
              <w:rPr>
                <w:rFonts w:hint="eastAsia" w:ascii="仿宋" w:hAnsi="仿宋" w:eastAsia="仿宋" w:cs="仿宋"/>
                <w:color w:val="auto"/>
                <w:sz w:val="24"/>
                <w:szCs w:val="24"/>
                <w:highlight w:val="none"/>
              </w:rPr>
            </w:pPr>
          </w:p>
        </w:tc>
        <w:tc>
          <w:tcPr>
            <w:tcW w:w="514" w:type="dxa"/>
          </w:tcPr>
          <w:p w14:paraId="5238D410">
            <w:pPr>
              <w:outlineLvl w:val="9"/>
              <w:rPr>
                <w:rFonts w:hint="eastAsia" w:ascii="仿宋" w:hAnsi="仿宋" w:eastAsia="仿宋" w:cs="仿宋"/>
                <w:color w:val="auto"/>
                <w:sz w:val="24"/>
                <w:szCs w:val="24"/>
                <w:highlight w:val="none"/>
              </w:rPr>
            </w:pPr>
          </w:p>
        </w:tc>
        <w:tc>
          <w:tcPr>
            <w:tcW w:w="1377" w:type="dxa"/>
          </w:tcPr>
          <w:p w14:paraId="2CFC8302">
            <w:pPr>
              <w:outlineLvl w:val="9"/>
              <w:rPr>
                <w:rFonts w:hint="eastAsia" w:ascii="仿宋" w:hAnsi="仿宋" w:eastAsia="仿宋" w:cs="仿宋"/>
                <w:color w:val="auto"/>
                <w:sz w:val="24"/>
                <w:szCs w:val="24"/>
                <w:highlight w:val="none"/>
              </w:rPr>
            </w:pPr>
          </w:p>
        </w:tc>
        <w:tc>
          <w:tcPr>
            <w:tcW w:w="1386" w:type="dxa"/>
          </w:tcPr>
          <w:p w14:paraId="3A8A74D2">
            <w:pPr>
              <w:outlineLvl w:val="9"/>
              <w:rPr>
                <w:rFonts w:hint="eastAsia" w:ascii="仿宋" w:hAnsi="仿宋" w:eastAsia="仿宋" w:cs="仿宋"/>
                <w:color w:val="auto"/>
                <w:sz w:val="24"/>
                <w:szCs w:val="24"/>
                <w:highlight w:val="none"/>
              </w:rPr>
            </w:pPr>
          </w:p>
        </w:tc>
      </w:tr>
      <w:tr w14:paraId="483D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2759AC73">
            <w:pPr>
              <w:outlineLvl w:val="9"/>
              <w:rPr>
                <w:rFonts w:hint="eastAsia" w:ascii="仿宋" w:hAnsi="仿宋" w:eastAsia="仿宋" w:cs="仿宋"/>
                <w:color w:val="auto"/>
                <w:sz w:val="24"/>
                <w:szCs w:val="24"/>
                <w:highlight w:val="none"/>
              </w:rPr>
            </w:pPr>
          </w:p>
        </w:tc>
        <w:tc>
          <w:tcPr>
            <w:tcW w:w="1461" w:type="dxa"/>
          </w:tcPr>
          <w:p w14:paraId="430CD12D">
            <w:pPr>
              <w:outlineLvl w:val="9"/>
              <w:rPr>
                <w:rFonts w:hint="eastAsia" w:ascii="仿宋" w:hAnsi="仿宋" w:eastAsia="仿宋" w:cs="仿宋"/>
                <w:color w:val="auto"/>
                <w:sz w:val="24"/>
                <w:szCs w:val="24"/>
                <w:highlight w:val="none"/>
              </w:rPr>
            </w:pPr>
          </w:p>
        </w:tc>
        <w:tc>
          <w:tcPr>
            <w:tcW w:w="1623" w:type="dxa"/>
          </w:tcPr>
          <w:p w14:paraId="66D24103">
            <w:pPr>
              <w:outlineLvl w:val="9"/>
              <w:rPr>
                <w:rFonts w:hint="eastAsia" w:ascii="仿宋" w:hAnsi="仿宋" w:eastAsia="仿宋" w:cs="仿宋"/>
                <w:color w:val="auto"/>
                <w:sz w:val="24"/>
                <w:szCs w:val="24"/>
                <w:highlight w:val="none"/>
              </w:rPr>
            </w:pPr>
          </w:p>
        </w:tc>
        <w:tc>
          <w:tcPr>
            <w:tcW w:w="832" w:type="dxa"/>
          </w:tcPr>
          <w:p w14:paraId="28F455CD">
            <w:pPr>
              <w:outlineLvl w:val="9"/>
              <w:rPr>
                <w:rFonts w:hint="eastAsia" w:ascii="仿宋" w:hAnsi="仿宋" w:eastAsia="仿宋" w:cs="仿宋"/>
                <w:color w:val="auto"/>
                <w:sz w:val="24"/>
                <w:szCs w:val="24"/>
                <w:highlight w:val="none"/>
              </w:rPr>
            </w:pPr>
          </w:p>
        </w:tc>
        <w:tc>
          <w:tcPr>
            <w:tcW w:w="822" w:type="dxa"/>
          </w:tcPr>
          <w:p w14:paraId="2DABDEB9">
            <w:pPr>
              <w:outlineLvl w:val="9"/>
              <w:rPr>
                <w:rFonts w:hint="eastAsia" w:ascii="仿宋" w:hAnsi="仿宋" w:eastAsia="仿宋" w:cs="仿宋"/>
                <w:color w:val="auto"/>
                <w:sz w:val="24"/>
                <w:szCs w:val="24"/>
                <w:highlight w:val="none"/>
              </w:rPr>
            </w:pPr>
          </w:p>
        </w:tc>
        <w:tc>
          <w:tcPr>
            <w:tcW w:w="514" w:type="dxa"/>
          </w:tcPr>
          <w:p w14:paraId="048424D1">
            <w:pPr>
              <w:outlineLvl w:val="9"/>
              <w:rPr>
                <w:rFonts w:hint="eastAsia" w:ascii="仿宋" w:hAnsi="仿宋" w:eastAsia="仿宋" w:cs="仿宋"/>
                <w:color w:val="auto"/>
                <w:sz w:val="24"/>
                <w:szCs w:val="24"/>
                <w:highlight w:val="none"/>
              </w:rPr>
            </w:pPr>
          </w:p>
        </w:tc>
        <w:tc>
          <w:tcPr>
            <w:tcW w:w="1377" w:type="dxa"/>
          </w:tcPr>
          <w:p w14:paraId="7452EFC1">
            <w:pPr>
              <w:outlineLvl w:val="9"/>
              <w:rPr>
                <w:rFonts w:hint="eastAsia" w:ascii="仿宋" w:hAnsi="仿宋" w:eastAsia="仿宋" w:cs="仿宋"/>
                <w:color w:val="auto"/>
                <w:sz w:val="24"/>
                <w:szCs w:val="24"/>
                <w:highlight w:val="none"/>
              </w:rPr>
            </w:pPr>
          </w:p>
        </w:tc>
        <w:tc>
          <w:tcPr>
            <w:tcW w:w="1386" w:type="dxa"/>
          </w:tcPr>
          <w:p w14:paraId="03BB6847">
            <w:pPr>
              <w:outlineLvl w:val="9"/>
              <w:rPr>
                <w:rFonts w:hint="eastAsia" w:ascii="仿宋" w:hAnsi="仿宋" w:eastAsia="仿宋" w:cs="仿宋"/>
                <w:color w:val="auto"/>
                <w:sz w:val="24"/>
                <w:szCs w:val="24"/>
                <w:highlight w:val="none"/>
              </w:rPr>
            </w:pPr>
          </w:p>
        </w:tc>
      </w:tr>
      <w:tr w14:paraId="27A0E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092D005A">
            <w:pPr>
              <w:outlineLvl w:val="9"/>
              <w:rPr>
                <w:rFonts w:hint="eastAsia" w:ascii="仿宋" w:hAnsi="仿宋" w:eastAsia="仿宋" w:cs="仿宋"/>
                <w:color w:val="auto"/>
                <w:sz w:val="24"/>
                <w:szCs w:val="24"/>
                <w:highlight w:val="none"/>
              </w:rPr>
            </w:pPr>
          </w:p>
        </w:tc>
        <w:tc>
          <w:tcPr>
            <w:tcW w:w="1461" w:type="dxa"/>
          </w:tcPr>
          <w:p w14:paraId="791E7B2D">
            <w:pPr>
              <w:outlineLvl w:val="9"/>
              <w:rPr>
                <w:rFonts w:hint="eastAsia" w:ascii="仿宋" w:hAnsi="仿宋" w:eastAsia="仿宋" w:cs="仿宋"/>
                <w:color w:val="auto"/>
                <w:sz w:val="24"/>
                <w:szCs w:val="24"/>
                <w:highlight w:val="none"/>
              </w:rPr>
            </w:pPr>
          </w:p>
        </w:tc>
        <w:tc>
          <w:tcPr>
            <w:tcW w:w="1623" w:type="dxa"/>
          </w:tcPr>
          <w:p w14:paraId="0326BC83">
            <w:pPr>
              <w:outlineLvl w:val="9"/>
              <w:rPr>
                <w:rFonts w:hint="eastAsia" w:ascii="仿宋" w:hAnsi="仿宋" w:eastAsia="仿宋" w:cs="仿宋"/>
                <w:color w:val="auto"/>
                <w:sz w:val="24"/>
                <w:szCs w:val="24"/>
                <w:highlight w:val="none"/>
              </w:rPr>
            </w:pPr>
          </w:p>
        </w:tc>
        <w:tc>
          <w:tcPr>
            <w:tcW w:w="832" w:type="dxa"/>
          </w:tcPr>
          <w:p w14:paraId="1B10CF5C">
            <w:pPr>
              <w:outlineLvl w:val="9"/>
              <w:rPr>
                <w:rFonts w:hint="eastAsia" w:ascii="仿宋" w:hAnsi="仿宋" w:eastAsia="仿宋" w:cs="仿宋"/>
                <w:color w:val="auto"/>
                <w:sz w:val="24"/>
                <w:szCs w:val="24"/>
                <w:highlight w:val="none"/>
              </w:rPr>
            </w:pPr>
          </w:p>
        </w:tc>
        <w:tc>
          <w:tcPr>
            <w:tcW w:w="822" w:type="dxa"/>
          </w:tcPr>
          <w:p w14:paraId="0747089F">
            <w:pPr>
              <w:outlineLvl w:val="9"/>
              <w:rPr>
                <w:rFonts w:hint="eastAsia" w:ascii="仿宋" w:hAnsi="仿宋" w:eastAsia="仿宋" w:cs="仿宋"/>
                <w:color w:val="auto"/>
                <w:sz w:val="24"/>
                <w:szCs w:val="24"/>
                <w:highlight w:val="none"/>
              </w:rPr>
            </w:pPr>
          </w:p>
        </w:tc>
        <w:tc>
          <w:tcPr>
            <w:tcW w:w="514" w:type="dxa"/>
          </w:tcPr>
          <w:p w14:paraId="02EF76B2">
            <w:pPr>
              <w:outlineLvl w:val="9"/>
              <w:rPr>
                <w:rFonts w:hint="eastAsia" w:ascii="仿宋" w:hAnsi="仿宋" w:eastAsia="仿宋" w:cs="仿宋"/>
                <w:color w:val="auto"/>
                <w:sz w:val="24"/>
                <w:szCs w:val="24"/>
                <w:highlight w:val="none"/>
              </w:rPr>
            </w:pPr>
          </w:p>
        </w:tc>
        <w:tc>
          <w:tcPr>
            <w:tcW w:w="1377" w:type="dxa"/>
          </w:tcPr>
          <w:p w14:paraId="3E49C1EC">
            <w:pPr>
              <w:outlineLvl w:val="9"/>
              <w:rPr>
                <w:rFonts w:hint="eastAsia" w:ascii="仿宋" w:hAnsi="仿宋" w:eastAsia="仿宋" w:cs="仿宋"/>
                <w:color w:val="auto"/>
                <w:sz w:val="24"/>
                <w:szCs w:val="24"/>
                <w:highlight w:val="none"/>
              </w:rPr>
            </w:pPr>
          </w:p>
        </w:tc>
        <w:tc>
          <w:tcPr>
            <w:tcW w:w="1386" w:type="dxa"/>
          </w:tcPr>
          <w:p w14:paraId="0D6836A2">
            <w:pPr>
              <w:outlineLvl w:val="9"/>
              <w:rPr>
                <w:rFonts w:hint="eastAsia" w:ascii="仿宋" w:hAnsi="仿宋" w:eastAsia="仿宋" w:cs="仿宋"/>
                <w:color w:val="auto"/>
                <w:sz w:val="24"/>
                <w:szCs w:val="24"/>
                <w:highlight w:val="none"/>
              </w:rPr>
            </w:pPr>
          </w:p>
        </w:tc>
      </w:tr>
      <w:tr w14:paraId="64B1C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14:paraId="1E395535">
            <w:pPr>
              <w:outlineLvl w:val="9"/>
              <w:rPr>
                <w:rFonts w:hint="eastAsia" w:ascii="仿宋" w:hAnsi="仿宋" w:eastAsia="仿宋" w:cs="仿宋"/>
                <w:color w:val="auto"/>
                <w:sz w:val="24"/>
                <w:szCs w:val="24"/>
                <w:highlight w:val="none"/>
              </w:rPr>
            </w:pPr>
            <w:bookmarkStart w:id="43" w:name="_Toc16401"/>
            <w:bookmarkStart w:id="44" w:name="_Toc25107"/>
            <w:bookmarkStart w:id="45" w:name="_Toc18746"/>
            <w:bookmarkStart w:id="46" w:name="_Toc15703"/>
            <w:bookmarkStart w:id="47" w:name="_Toc10934"/>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14:paraId="5E6D3EBC">
            <w:pPr>
              <w:outlineLvl w:val="9"/>
              <w:rPr>
                <w:rFonts w:hint="eastAsia" w:ascii="仿宋" w:hAnsi="仿宋" w:eastAsia="仿宋" w:cs="仿宋"/>
                <w:color w:val="auto"/>
                <w:sz w:val="24"/>
                <w:szCs w:val="24"/>
                <w:highlight w:val="none"/>
              </w:rPr>
            </w:pPr>
            <w:bookmarkStart w:id="48" w:name="_Toc3316"/>
            <w:bookmarkStart w:id="49" w:name="_Toc10002"/>
            <w:bookmarkStart w:id="50" w:name="_Toc31431"/>
            <w:bookmarkStart w:id="51" w:name="_Toc18304"/>
            <w:bookmarkStart w:id="52" w:name="_Toc9771"/>
            <w:r>
              <w:rPr>
                <w:rFonts w:hint="eastAsia" w:ascii="仿宋" w:hAnsi="仿宋" w:eastAsia="仿宋" w:cs="仿宋"/>
                <w:color w:val="auto"/>
                <w:sz w:val="24"/>
                <w:szCs w:val="24"/>
                <w:highlight w:val="none"/>
              </w:rPr>
              <w:t>¥</w:t>
            </w:r>
            <w:bookmarkEnd w:id="48"/>
            <w:bookmarkEnd w:id="49"/>
            <w:bookmarkEnd w:id="50"/>
            <w:bookmarkEnd w:id="51"/>
            <w:bookmarkEnd w:id="52"/>
          </w:p>
        </w:tc>
      </w:tr>
    </w:tbl>
    <w:p w14:paraId="1DCF8D2B">
      <w:pPr>
        <w:pStyle w:val="6"/>
        <w:spacing w:line="360" w:lineRule="auto"/>
        <w:jc w:val="both"/>
        <w:rPr>
          <w:rFonts w:hint="eastAsia" w:ascii="仿宋" w:hAnsi="仿宋" w:eastAsia="仿宋" w:cs="仿宋"/>
          <w:color w:val="auto"/>
          <w:sz w:val="24"/>
          <w:szCs w:val="24"/>
          <w:highlight w:val="none"/>
        </w:rPr>
      </w:pPr>
      <w:bookmarkStart w:id="53" w:name="_Toc6586"/>
      <w:bookmarkStart w:id="54" w:name="_Toc14881"/>
      <w:bookmarkStart w:id="55" w:name="_Toc28512"/>
      <w:r>
        <w:rPr>
          <w:rFonts w:hint="eastAsia" w:ascii="仿宋" w:hAnsi="仿宋" w:eastAsia="仿宋" w:cs="仿宋"/>
          <w:color w:val="auto"/>
          <w:sz w:val="24"/>
          <w:szCs w:val="24"/>
          <w:highlight w:val="none"/>
        </w:rPr>
        <w:t>第二条 合同价款</w:t>
      </w:r>
      <w:bookmarkEnd w:id="53"/>
      <w:bookmarkEnd w:id="54"/>
      <w:bookmarkEnd w:id="55"/>
    </w:p>
    <w:p w14:paraId="2E778E70">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103B965C">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14:paraId="2B576AC3">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43872F7B">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14:paraId="1A0F8C08">
      <w:pPr>
        <w:pStyle w:val="6"/>
        <w:spacing w:line="360" w:lineRule="auto"/>
        <w:jc w:val="both"/>
        <w:rPr>
          <w:rFonts w:hint="default" w:ascii="仿宋" w:hAnsi="仿宋" w:eastAsia="仿宋" w:cs="仿宋"/>
          <w:color w:val="auto"/>
          <w:sz w:val="24"/>
          <w:szCs w:val="24"/>
          <w:highlight w:val="none"/>
          <w:lang w:val="en-US" w:eastAsia="zh-CN"/>
        </w:rPr>
      </w:pPr>
      <w:bookmarkStart w:id="57" w:name="_Toc14426"/>
      <w:bookmarkStart w:id="58" w:name="_Toc2721"/>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14:paraId="57CDAC07">
      <w:pPr>
        <w:pStyle w:val="6"/>
        <w:spacing w:line="360" w:lineRule="auto"/>
        <w:ind w:firstLine="480" w:firstLineChars="200"/>
        <w:jc w:val="both"/>
        <w:rPr>
          <w:rFonts w:hint="eastAsia" w:ascii="仿宋" w:hAnsi="仿宋" w:eastAsia="仿宋" w:cs="仿宋"/>
          <w:b/>
          <w:bCs/>
          <w:kern w:val="2"/>
          <w:sz w:val="24"/>
          <w:szCs w:val="24"/>
          <w:lang w:val="en-US" w:eastAsia="zh-CN" w:bidi="ar-SA"/>
        </w:rPr>
      </w:pPr>
      <w:bookmarkStart w:id="59" w:name="_Toc7450"/>
      <w:bookmarkStart w:id="60" w:name="_Toc7176"/>
      <w:bookmarkStart w:id="61" w:name="_Toc24977"/>
      <w:r>
        <w:rPr>
          <w:rFonts w:hint="eastAsia" w:ascii="仿宋" w:hAnsi="仿宋" w:eastAsia="仿宋" w:cs="仿宋"/>
          <w:b w:val="0"/>
          <w:bCs w:val="0"/>
          <w:kern w:val="2"/>
          <w:sz w:val="24"/>
          <w:szCs w:val="24"/>
          <w:lang w:val="en-US" w:eastAsia="zh-CN" w:bidi="ar-SA"/>
        </w:rPr>
        <w:t>货到安装调试验收后 ，达到付款条件起 10 日内，支付合同总金额的 90.00%。质保期结束后 ，达到付款条件起 10 日内，支付合同总金额的 10.00%。</w:t>
      </w:r>
      <w:r>
        <w:rPr>
          <w:rFonts w:hint="eastAsia" w:ascii="仿宋" w:hAnsi="仿宋" w:eastAsia="仿宋" w:cs="仿宋"/>
          <w:b/>
          <w:bCs/>
          <w:kern w:val="2"/>
          <w:sz w:val="24"/>
          <w:szCs w:val="24"/>
          <w:lang w:val="en-US" w:eastAsia="zh-CN" w:bidi="ar-SA"/>
        </w:rPr>
        <w:t>第四条 交货期限</w:t>
      </w:r>
      <w:bookmarkEnd w:id="59"/>
      <w:bookmarkEnd w:id="60"/>
      <w:bookmarkEnd w:id="61"/>
    </w:p>
    <w:p w14:paraId="0822F60D">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1"/>
        <w:rPr>
          <w:rFonts w:hint="default" w:ascii="仿宋" w:hAnsi="仿宋" w:eastAsia="仿宋" w:cs="仿宋"/>
          <w:b w:val="0"/>
          <w:bCs/>
          <w:color w:val="auto"/>
          <w:highlight w:val="yellow"/>
          <w:u w:val="none"/>
          <w:lang w:val="en-US" w:eastAsia="zh-CN"/>
        </w:rPr>
      </w:pPr>
      <w:r>
        <w:rPr>
          <w:rFonts w:hint="default" w:ascii="仿宋" w:hAnsi="仿宋" w:eastAsia="仿宋" w:cs="仿宋"/>
          <w:b w:val="0"/>
          <w:bCs/>
          <w:color w:val="auto"/>
          <w:highlight w:val="none"/>
          <w:u w:val="none"/>
          <w:lang w:val="en-US" w:eastAsia="zh-CN"/>
        </w:rPr>
        <w:t>自签订合同之日起30日历天安装交付</w:t>
      </w:r>
    </w:p>
    <w:p w14:paraId="575BD363">
      <w:pPr>
        <w:pStyle w:val="6"/>
        <w:spacing w:line="360" w:lineRule="auto"/>
        <w:jc w:val="both"/>
        <w:rPr>
          <w:rFonts w:hint="default" w:ascii="仿宋" w:hAnsi="仿宋" w:eastAsia="仿宋" w:cs="仿宋"/>
          <w:color w:val="auto"/>
          <w:sz w:val="24"/>
          <w:szCs w:val="24"/>
          <w:highlight w:val="none"/>
          <w:lang w:val="en-US" w:eastAsia="zh-CN"/>
        </w:rPr>
      </w:pPr>
      <w:bookmarkStart w:id="62" w:name="_Toc8595"/>
      <w:r>
        <w:rPr>
          <w:rFonts w:hint="eastAsia" w:ascii="仿宋" w:hAnsi="仿宋" w:eastAsia="仿宋" w:cs="仿宋"/>
          <w:color w:val="auto"/>
          <w:sz w:val="24"/>
          <w:szCs w:val="24"/>
          <w:highlight w:val="none"/>
          <w:lang w:val="en-US" w:eastAsia="zh-CN"/>
        </w:rPr>
        <w:t xml:space="preserve"> </w:t>
      </w:r>
      <w:bookmarkStart w:id="63" w:name="_Toc2774"/>
      <w:bookmarkStart w:id="64" w:name="_Toc18347"/>
      <w:r>
        <w:rPr>
          <w:rFonts w:hint="eastAsia" w:ascii="仿宋" w:hAnsi="仿宋" w:eastAsia="仿宋" w:cs="仿宋"/>
          <w:color w:val="auto"/>
          <w:sz w:val="24"/>
          <w:szCs w:val="24"/>
          <w:highlight w:val="none"/>
          <w:lang w:val="en-US" w:eastAsia="zh-CN"/>
        </w:rPr>
        <w:t>第五条 质</w:t>
      </w:r>
      <w:bookmarkEnd w:id="62"/>
      <w:r>
        <w:rPr>
          <w:rFonts w:hint="eastAsia" w:ascii="仿宋" w:hAnsi="仿宋" w:eastAsia="仿宋" w:cs="仿宋"/>
          <w:color w:val="auto"/>
          <w:sz w:val="24"/>
          <w:szCs w:val="24"/>
          <w:highlight w:val="none"/>
          <w:lang w:val="en-US" w:eastAsia="zh-CN"/>
        </w:rPr>
        <w:t>保</w:t>
      </w:r>
      <w:bookmarkEnd w:id="63"/>
      <w:bookmarkEnd w:id="64"/>
      <w:r>
        <w:rPr>
          <w:rFonts w:hint="eastAsia" w:ascii="仿宋" w:hAnsi="仿宋" w:eastAsia="仿宋" w:cs="仿宋"/>
          <w:color w:val="auto"/>
          <w:sz w:val="24"/>
          <w:szCs w:val="24"/>
          <w:highlight w:val="none"/>
          <w:lang w:val="en-US" w:eastAsia="zh-CN"/>
        </w:rPr>
        <w:t>保证</w:t>
      </w:r>
    </w:p>
    <w:p w14:paraId="4329478A">
      <w:pPr>
        <w:pStyle w:val="9"/>
        <w:spacing w:line="360" w:lineRule="auto"/>
        <w:ind w:firstLine="480" w:firstLineChars="200"/>
        <w:rPr>
          <w:rFonts w:ascii="仿宋" w:hAnsi="仿宋" w:eastAsia="仿宋" w:cs="仿宋"/>
          <w:sz w:val="24"/>
        </w:rPr>
      </w:pPr>
      <w:bookmarkStart w:id="65" w:name="_Toc23635"/>
      <w:bookmarkStart w:id="66" w:name="_Toc26000"/>
      <w:bookmarkStart w:id="67" w:name="_Toc5147"/>
      <w:r>
        <w:rPr>
          <w:rFonts w:hint="eastAsia" w:ascii="仿宋" w:hAnsi="仿宋" w:eastAsia="仿宋" w:cs="仿宋"/>
          <w:sz w:val="24"/>
          <w:lang w:val="en-US" w:eastAsia="zh-CN"/>
        </w:rPr>
        <w:t>1.</w:t>
      </w:r>
      <w:r>
        <w:rPr>
          <w:rFonts w:hint="eastAsia" w:ascii="仿宋" w:hAnsi="仿宋" w:eastAsia="仿宋" w:cs="仿宋"/>
          <w:sz w:val="24"/>
        </w:rPr>
        <w:t>乙方提供的设备及配套产品，必须</w:t>
      </w:r>
      <w:r>
        <w:rPr>
          <w:rFonts w:hint="eastAsia" w:ascii="仿宋" w:hAnsi="仿宋" w:eastAsia="仿宋" w:cs="仿宋"/>
          <w:sz w:val="24"/>
          <w:lang w:val="en-US" w:eastAsia="zh-CN"/>
        </w:rPr>
        <w:t>按照我国现使用的标准</w:t>
      </w:r>
      <w:r>
        <w:rPr>
          <w:rFonts w:hint="eastAsia" w:ascii="仿宋" w:hAnsi="仿宋" w:eastAsia="仿宋" w:cs="仿宋"/>
          <w:sz w:val="24"/>
        </w:rPr>
        <w:t>制造</w:t>
      </w:r>
      <w:r>
        <w:rPr>
          <w:rFonts w:hint="eastAsia" w:ascii="仿宋" w:hAnsi="仿宋" w:eastAsia="仿宋" w:cs="仿宋"/>
          <w:sz w:val="24"/>
          <w:lang w:eastAsia="zh-CN"/>
        </w:rPr>
        <w:t>，</w:t>
      </w:r>
      <w:r>
        <w:rPr>
          <w:rFonts w:hint="eastAsia" w:ascii="仿宋" w:hAnsi="仿宋" w:eastAsia="仿宋" w:cs="仿宋"/>
          <w:sz w:val="24"/>
          <w:lang w:val="en-US" w:eastAsia="zh-CN"/>
        </w:rPr>
        <w:t>必须是合格</w:t>
      </w:r>
      <w:r>
        <w:rPr>
          <w:rFonts w:hint="eastAsia" w:ascii="仿宋" w:hAnsi="仿宋" w:eastAsia="仿宋" w:cs="仿宋"/>
          <w:sz w:val="24"/>
        </w:rPr>
        <w:t>、全新、未曾使用的产品，产品内部无损坏，外表无磨损，内部包装无破损。整套产品必须通过由国家技术监督部门授权的计量检定单位的检定，并附有检定使用合格证书。</w:t>
      </w:r>
    </w:p>
    <w:p w14:paraId="586AF8EF">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14:paraId="29D2B899">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设备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02F4641">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7902D66">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14:paraId="47E0CFA3">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质保期为终验合格后</w:t>
      </w:r>
      <w:r>
        <w:rPr>
          <w:rFonts w:hint="eastAsia" w:ascii="仿宋" w:hAnsi="仿宋" w:eastAsia="仿宋" w:cs="仿宋"/>
          <w:sz w:val="24"/>
          <w:lang w:val="en-US" w:eastAsia="zh-CN"/>
        </w:rPr>
        <w:t>3年</w:t>
      </w:r>
      <w:r>
        <w:rPr>
          <w:rFonts w:hint="eastAsia" w:ascii="仿宋" w:hAnsi="仿宋" w:eastAsia="仿宋" w:cs="仿宋"/>
          <w:sz w:val="24"/>
        </w:rPr>
        <w:t>。</w:t>
      </w:r>
      <w:r>
        <w:rPr>
          <w:rFonts w:hint="eastAsia" w:ascii="仿宋" w:hAnsi="仿宋" w:eastAsia="仿宋" w:cs="仿宋"/>
          <w:sz w:val="24"/>
          <w:lang w:eastAsia="zh-CN"/>
        </w:rPr>
        <w:t>乙方</w:t>
      </w:r>
      <w:r>
        <w:rPr>
          <w:rFonts w:hint="eastAsia" w:ascii="仿宋" w:hAnsi="仿宋" w:eastAsia="仿宋" w:cs="仿宋"/>
          <w:sz w:val="24"/>
        </w:rPr>
        <w:t>承诺的质保时间超过招标文件要求的，按其承诺时间质保。</w:t>
      </w:r>
    </w:p>
    <w:p w14:paraId="470ABC78">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）乙方</w:t>
      </w:r>
      <w:r>
        <w:rPr>
          <w:rFonts w:hint="eastAsia" w:ascii="仿宋" w:hAnsi="仿宋" w:eastAsia="仿宋" w:cs="仿宋"/>
          <w:sz w:val="24"/>
        </w:rPr>
        <w:t>承诺的质保期起始时间为终验合格之日。</w:t>
      </w:r>
    </w:p>
    <w:p w14:paraId="6DA2FD9B">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rPr>
        <w:t>所有产品质量必须符合现行的国家标准或国家行政部门颁布的法律法规、规章制度等。没有国家标准的，可以参考行业标准。所有设备及辅材必须是未使用过的新产品，质量优良、渠道正当，配置合理。</w:t>
      </w:r>
    </w:p>
    <w:p w14:paraId="7CE48F5A">
      <w:pPr>
        <w:pStyle w:val="9"/>
        <w:spacing w:line="360" w:lineRule="auto"/>
        <w:ind w:firstLine="480" w:firstLineChars="200"/>
        <w:rPr>
          <w:rFonts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w:t>
      </w:r>
      <w:r>
        <w:rPr>
          <w:rFonts w:hint="eastAsia" w:ascii="仿宋" w:hAnsi="仿宋" w:eastAsia="仿宋" w:cs="仿宋"/>
          <w:sz w:val="24"/>
        </w:rPr>
        <w:t>质保期出现的质量问题由</w:t>
      </w:r>
      <w:r>
        <w:rPr>
          <w:rFonts w:hint="eastAsia" w:ascii="仿宋" w:hAnsi="仿宋" w:eastAsia="仿宋" w:cs="仿宋"/>
          <w:sz w:val="24"/>
          <w:lang w:eastAsia="zh-CN"/>
        </w:rPr>
        <w:t>乙方</w:t>
      </w:r>
      <w:r>
        <w:rPr>
          <w:rFonts w:hint="eastAsia" w:ascii="仿宋" w:hAnsi="仿宋" w:eastAsia="仿宋" w:cs="仿宋"/>
          <w:sz w:val="24"/>
        </w:rPr>
        <w:t>负责解决并承担所有费用。质保期后如需更换零部件，</w:t>
      </w:r>
      <w:r>
        <w:rPr>
          <w:rFonts w:hint="eastAsia" w:ascii="仿宋" w:hAnsi="仿宋" w:eastAsia="仿宋" w:cs="仿宋"/>
          <w:sz w:val="24"/>
          <w:lang w:eastAsia="zh-CN"/>
        </w:rPr>
        <w:t>乙方</w:t>
      </w:r>
      <w:r>
        <w:rPr>
          <w:rFonts w:hint="eastAsia" w:ascii="仿宋" w:hAnsi="仿宋" w:eastAsia="仿宋" w:cs="仿宋"/>
          <w:sz w:val="24"/>
        </w:rPr>
        <w:t>应以优惠价提供。</w:t>
      </w:r>
    </w:p>
    <w:p w14:paraId="626115A8">
      <w:pPr>
        <w:pStyle w:val="13"/>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5"/>
      <w:bookmarkEnd w:id="66"/>
      <w:bookmarkEnd w:id="67"/>
    </w:p>
    <w:p w14:paraId="64E8E07A">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14:paraId="5D4D9C0C">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14:paraId="35350F18">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14:paraId="14FF55D0">
      <w:pPr>
        <w:pStyle w:val="13"/>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14:paraId="056C1AB4">
      <w:pPr>
        <w:pStyle w:val="13"/>
        <w:spacing w:line="360" w:lineRule="auto"/>
        <w:outlineLvl w:val="1"/>
        <w:rPr>
          <w:rFonts w:hint="default" w:ascii="仿宋" w:hAnsi="仿宋" w:eastAsia="仿宋" w:cs="仿宋"/>
          <w:b/>
          <w:color w:val="auto"/>
          <w:highlight w:val="none"/>
          <w:lang w:val="en-US" w:eastAsia="zh-CN"/>
        </w:rPr>
      </w:pPr>
      <w:bookmarkStart w:id="68" w:name="_Toc31505"/>
      <w:bookmarkStart w:id="69" w:name="_Toc18410"/>
      <w:bookmarkStart w:id="70" w:name="_Toc31476"/>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14:paraId="600357B7">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14:paraId="551A8407">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乙方负责提供设备相应的技术资料，包括产品合格证、产品保修单、安装使用及维护说明书以及运输装箱清单等,并对所有技术材料的真实性、准确性、先进性、完整性负责。</w:t>
      </w:r>
    </w:p>
    <w:p w14:paraId="23EF4423">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14:paraId="49728F6E">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14:paraId="759B98B4">
      <w:pPr>
        <w:pStyle w:val="13"/>
        <w:spacing w:line="360" w:lineRule="auto"/>
        <w:outlineLvl w:val="1"/>
        <w:rPr>
          <w:rFonts w:hint="eastAsia" w:ascii="仿宋" w:hAnsi="仿宋" w:eastAsia="仿宋" w:cs="仿宋"/>
          <w:b/>
          <w:color w:val="auto"/>
          <w:highlight w:val="none"/>
        </w:rPr>
      </w:pPr>
      <w:bookmarkStart w:id="71" w:name="_Toc3919"/>
      <w:bookmarkStart w:id="72" w:name="_Toc3711"/>
      <w:bookmarkStart w:id="73" w:name="_Toc28698"/>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1"/>
      <w:bookmarkEnd w:id="72"/>
      <w:bookmarkEnd w:id="73"/>
    </w:p>
    <w:p w14:paraId="010AF1DA">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14:paraId="2F3CC37B">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14:paraId="37E317EF">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38F406A0">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bookmarkStart w:id="86" w:name="_GoBack"/>
      <w:bookmarkEnd w:id="86"/>
    </w:p>
    <w:p w14:paraId="63893669">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2234A3BB">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14:paraId="764CBD64">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14:paraId="64D47F17">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14:paraId="52F37348">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6643601">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14:paraId="74839D00">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14:paraId="18D71574">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14:paraId="3E76D7F4">
      <w:pPr>
        <w:widowControl/>
        <w:spacing w:line="360" w:lineRule="auto"/>
        <w:jc w:val="left"/>
        <w:outlineLvl w:val="1"/>
        <w:rPr>
          <w:rFonts w:hint="eastAsia" w:ascii="仿宋" w:hAnsi="仿宋" w:eastAsia="仿宋" w:cs="仿宋"/>
          <w:color w:val="auto"/>
          <w:kern w:val="0"/>
          <w:sz w:val="24"/>
          <w:szCs w:val="24"/>
          <w:highlight w:val="none"/>
        </w:rPr>
      </w:pPr>
      <w:bookmarkStart w:id="74" w:name="_Toc13805"/>
      <w:bookmarkStart w:id="75" w:name="_Toc17126"/>
      <w:bookmarkStart w:id="76" w:name="_Toc27557"/>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14:paraId="54D01A54">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7CAA0FBE">
      <w:pPr>
        <w:widowControl/>
        <w:spacing w:line="360" w:lineRule="auto"/>
        <w:jc w:val="left"/>
        <w:outlineLvl w:val="1"/>
        <w:rPr>
          <w:rFonts w:hint="eastAsia" w:ascii="仿宋" w:hAnsi="仿宋" w:eastAsia="仿宋" w:cs="仿宋"/>
          <w:b/>
          <w:color w:val="auto"/>
          <w:kern w:val="0"/>
          <w:sz w:val="24"/>
          <w:szCs w:val="24"/>
          <w:highlight w:val="none"/>
        </w:rPr>
      </w:pPr>
      <w:bookmarkStart w:id="77" w:name="_Toc13338"/>
      <w:bookmarkStart w:id="78" w:name="_Toc16869"/>
      <w:bookmarkStart w:id="79" w:name="_Toc29986"/>
      <w:r>
        <w:rPr>
          <w:rFonts w:hint="eastAsia" w:ascii="仿宋" w:hAnsi="仿宋" w:eastAsia="仿宋" w:cs="仿宋"/>
          <w:b/>
          <w:color w:val="auto"/>
          <w:kern w:val="0"/>
          <w:sz w:val="24"/>
          <w:szCs w:val="24"/>
          <w:highlight w:val="none"/>
        </w:rPr>
        <w:t>第十条 争议的解决</w:t>
      </w:r>
      <w:bookmarkEnd w:id="77"/>
      <w:bookmarkEnd w:id="78"/>
      <w:bookmarkEnd w:id="79"/>
    </w:p>
    <w:p w14:paraId="4FB7135D">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14:paraId="7A9C8250">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14:paraId="58AA937C">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14:paraId="44947571">
      <w:pPr>
        <w:pStyle w:val="13"/>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14:paraId="79DB79CE">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14:paraId="5D3AB024">
      <w:pPr>
        <w:snapToGrid w:val="0"/>
        <w:spacing w:line="360" w:lineRule="auto"/>
        <w:textAlignment w:val="baseline"/>
        <w:outlineLvl w:val="1"/>
        <w:rPr>
          <w:rFonts w:hint="eastAsia" w:ascii="仿宋" w:hAnsi="仿宋" w:eastAsia="仿宋" w:cs="仿宋"/>
          <w:b/>
          <w:color w:val="auto"/>
          <w:sz w:val="24"/>
          <w:szCs w:val="24"/>
          <w:highlight w:val="none"/>
        </w:rPr>
      </w:pPr>
      <w:bookmarkStart w:id="80" w:name="_Toc26051"/>
      <w:bookmarkStart w:id="81" w:name="_Toc6911"/>
      <w:bookmarkStart w:id="82" w:name="_Toc24039"/>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0"/>
      <w:bookmarkEnd w:id="81"/>
      <w:bookmarkEnd w:id="82"/>
    </w:p>
    <w:p w14:paraId="540F28B5">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346A530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C16D987">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14:paraId="3ED4F802">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1248D093">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14:paraId="09703E2F">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14:paraId="120D4596">
      <w:pPr>
        <w:snapToGrid w:val="0"/>
        <w:spacing w:line="360" w:lineRule="auto"/>
        <w:outlineLvl w:val="1"/>
        <w:rPr>
          <w:rFonts w:hint="eastAsia" w:ascii="仿宋" w:hAnsi="仿宋" w:eastAsia="仿宋" w:cs="仿宋"/>
          <w:b/>
          <w:color w:val="auto"/>
          <w:kern w:val="0"/>
          <w:sz w:val="24"/>
          <w:szCs w:val="24"/>
          <w:highlight w:val="none"/>
        </w:rPr>
      </w:pPr>
      <w:bookmarkStart w:id="83" w:name="_Toc32342"/>
      <w:bookmarkStart w:id="84" w:name="_Toc13842"/>
      <w:bookmarkStart w:id="85" w:name="_Toc138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3"/>
      <w:bookmarkEnd w:id="84"/>
      <w:bookmarkEnd w:id="85"/>
    </w:p>
    <w:p w14:paraId="5529D856">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14:paraId="13BF2EEF">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14:paraId="6D45C32F">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703EA01B">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14:paraId="38569208">
      <w:pPr>
        <w:spacing w:line="360" w:lineRule="auto"/>
        <w:ind w:firstLine="480" w:firstLineChars="200"/>
        <w:rPr>
          <w:rFonts w:hint="eastAsia" w:ascii="仿宋" w:hAnsi="仿宋" w:eastAsia="仿宋" w:cs="仿宋"/>
          <w:color w:val="auto"/>
          <w:sz w:val="24"/>
          <w:szCs w:val="24"/>
          <w:highlight w:val="none"/>
        </w:rPr>
      </w:pPr>
    </w:p>
    <w:p w14:paraId="2A8E0E5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1579B3D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6D6B798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622472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0FD08DA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2EA8F4F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0D4706D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18E2382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000127F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00BE8B3D-5548-4DE1-9B80-09160DF24DA1}"/>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20111A58-ED06-4C4F-B163-67C49CD3594A}"/>
  </w:font>
  <w:font w:name="仿宋">
    <w:panose1 w:val="02010609060101010101"/>
    <w:charset w:val="86"/>
    <w:family w:val="modern"/>
    <w:pitch w:val="default"/>
    <w:sig w:usb0="800002BF" w:usb1="38CF7CFA" w:usb2="00000016" w:usb3="00000000" w:csb0="00040001" w:csb1="00000000"/>
    <w:embedRegular r:id="rId3" w:fontKey="{1137CD10-162C-4CEE-8D7F-2258BB295612}"/>
  </w:font>
  <w:font w:name="WPSEMBED1">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MzdlOGY2NDIzMWE3MGU0MzI2NDcwNWNiZjU3M2EifQ=="/>
  </w:docVars>
  <w:rsids>
    <w:rsidRoot w:val="38E42B80"/>
    <w:rsid w:val="020E02AA"/>
    <w:rsid w:val="031271CC"/>
    <w:rsid w:val="03DF3BE5"/>
    <w:rsid w:val="07E51AAD"/>
    <w:rsid w:val="0B1A04DC"/>
    <w:rsid w:val="0C0544CC"/>
    <w:rsid w:val="0FE47B20"/>
    <w:rsid w:val="109201E2"/>
    <w:rsid w:val="123F625E"/>
    <w:rsid w:val="17E72CD8"/>
    <w:rsid w:val="180B4E43"/>
    <w:rsid w:val="1D3C6D55"/>
    <w:rsid w:val="1EE05DE7"/>
    <w:rsid w:val="263C4B36"/>
    <w:rsid w:val="264913D7"/>
    <w:rsid w:val="2A7C59B7"/>
    <w:rsid w:val="2F95544C"/>
    <w:rsid w:val="321150C9"/>
    <w:rsid w:val="328422AA"/>
    <w:rsid w:val="33613CE8"/>
    <w:rsid w:val="33E4755F"/>
    <w:rsid w:val="354F3848"/>
    <w:rsid w:val="38E42B80"/>
    <w:rsid w:val="397078B6"/>
    <w:rsid w:val="3D0A09CF"/>
    <w:rsid w:val="3EB2121E"/>
    <w:rsid w:val="4EDE7C89"/>
    <w:rsid w:val="4FB97F09"/>
    <w:rsid w:val="56881917"/>
    <w:rsid w:val="56B31FEC"/>
    <w:rsid w:val="59F42A57"/>
    <w:rsid w:val="5CE31541"/>
    <w:rsid w:val="607A71B4"/>
    <w:rsid w:val="61984CBF"/>
    <w:rsid w:val="643B2AF7"/>
    <w:rsid w:val="672D34DB"/>
    <w:rsid w:val="6BF95CAB"/>
    <w:rsid w:val="6D8433DC"/>
    <w:rsid w:val="70427DDE"/>
    <w:rsid w:val="70695446"/>
    <w:rsid w:val="73920EBF"/>
    <w:rsid w:val="73D828EE"/>
    <w:rsid w:val="759A04FF"/>
    <w:rsid w:val="7A6723E9"/>
    <w:rsid w:val="7A6C1FF8"/>
    <w:rsid w:val="7ED32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1"/>
    <w:next w:val="1"/>
    <w:qFormat/>
    <w:uiPriority w:val="0"/>
    <w:pPr>
      <w:jc w:val="center"/>
      <w:outlineLvl w:val="0"/>
    </w:pPr>
    <w:rPr>
      <w:rFonts w:ascii="宋体" w:hAnsi="宋体"/>
      <w:b/>
      <w:sz w:val="36"/>
    </w:rPr>
  </w:style>
  <w:style w:type="paragraph" w:styleId="6">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7">
    <w:name w:val="Normal Indent"/>
    <w:basedOn w:val="1"/>
    <w:next w:val="1"/>
    <w:qFormat/>
    <w:uiPriority w:val="0"/>
    <w:pPr>
      <w:adjustRightInd w:val="0"/>
      <w:spacing w:line="312" w:lineRule="atLeast"/>
      <w:ind w:firstLine="420"/>
      <w:textAlignment w:val="baseline"/>
    </w:pPr>
    <w:rPr>
      <w:rFonts w:ascii="宋体"/>
      <w:kern w:val="0"/>
    </w:rPr>
  </w:style>
  <w:style w:type="paragraph" w:styleId="8">
    <w:name w:val="Body Text"/>
    <w:basedOn w:val="1"/>
    <w:next w:val="1"/>
    <w:qFormat/>
    <w:uiPriority w:val="0"/>
    <w:pPr>
      <w:spacing w:after="120"/>
    </w:pPr>
    <w:rPr>
      <w:rFonts w:ascii="Times New Roman" w:hAnsi="Times New Roman"/>
    </w:rPr>
  </w:style>
  <w:style w:type="paragraph" w:styleId="9">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3">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题 41"/>
    <w:basedOn w:val="1"/>
    <w:qFormat/>
    <w:uiPriority w:val="1"/>
    <w:pPr>
      <w:ind w:left="1745"/>
      <w:jc w:val="left"/>
      <w:outlineLvl w:val="4"/>
    </w:pPr>
    <w:rPr>
      <w:rFonts w:ascii="宋体" w:hAnsi="宋体"/>
      <w:kern w:val="0"/>
      <w:sz w:val="26"/>
      <w:szCs w:val="26"/>
      <w:lang w:eastAsia="en-US"/>
    </w:rPr>
  </w:style>
  <w:style w:type="paragraph" w:customStyle="1" w:styleId="1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3024</Words>
  <Characters>3072</Characters>
  <Lines>0</Lines>
  <Paragraphs>0</Paragraphs>
  <TotalTime>5</TotalTime>
  <ScaleCrop>false</ScaleCrop>
  <LinksUpToDate>false</LinksUpToDate>
  <CharactersWithSpaces>3495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Kksky</cp:lastModifiedBy>
  <dcterms:modified xsi:type="dcterms:W3CDTF">2025-11-13T10:46:37Z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20605BE164B44E3D8AFF7365547465CE_13</vt:lpwstr>
  </property>
  <property fmtid="{D5CDD505-2E9C-101B-9397-08002B2CF9AE}" pid="4" name="KSOTemplateDocerSaveRecord">
    <vt:lpwstr>eyJoZGlkIjoiYTZiODM0YTNiMDVkOGUzN2Y2NDIwOTAzZTc5MTliM2EiLCJ1c2VySWQiOiIyODMxOTY2MjcifQ==</vt:lpwstr>
  </property>
</Properties>
</file>