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版本号：HZJZS2025-029720251209001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阳春镇陈村2025年“千万工程”示范村基础设施提升改造项目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HZJZS2025-0297</w:t>
      </w:r>
      <w:r>
        <w:br/>
      </w:r>
      <w:r>
        <w:br/>
      </w:r>
      <w:r>
        <w:br/>
      </w:r>
    </w:p>
    <w:p>
      <w:pPr>
        <w:pStyle w:val="null3"/>
        <w:jc w:val="center"/>
        <w:outlineLvl w:val="2"/>
      </w:pPr>
      <w:r>
        <w:rPr>
          <w:rFonts w:ascii="仿宋_GB2312" w:hAnsi="仿宋_GB2312" w:cs="仿宋_GB2312" w:eastAsia="仿宋_GB2312"/>
          <w:sz w:val="28"/>
          <w:b/>
        </w:rPr>
        <w:t>汉中市南郑区阳春镇人民政府</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汉中市南郑区阳春镇人民政府</w:t>
      </w:r>
      <w:r>
        <w:rPr>
          <w:rFonts w:ascii="仿宋_GB2312" w:hAnsi="仿宋_GB2312" w:cs="仿宋_GB2312" w:eastAsia="仿宋_GB2312"/>
        </w:rPr>
        <w:t>委托，拟对</w:t>
      </w:r>
      <w:r>
        <w:rPr>
          <w:rFonts w:ascii="仿宋_GB2312" w:hAnsi="仿宋_GB2312" w:cs="仿宋_GB2312" w:eastAsia="仿宋_GB2312"/>
        </w:rPr>
        <w:t>阳春镇陈村2025年“千万工程”示范村基础设施提升改造项目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HZJZS2025-0297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阳春镇陈村2025年“千万工程”示范村基础设施提升改造项目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阳春镇陈村2025年“千万工程”示范村基础设施提升改造项目，主要建设内容：村级活动场所地面平整1500m²、村级活动场所周边绿化及整治提升，清理水库周边杂灌林，新建8米长6米高制种油菜宣传牌1面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采购包1（阳春镇陈村2025年“千万工程”示范村基础设施提升改造项目）：属于专门面向中小企业采购。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3、企业资质要求：供应商应具备建设行政部门核发的市政公用工程施工总承包三级（含三级）及以上资质，安全生产许可证合格有效；</w:t>
      </w:r>
    </w:p>
    <w:p>
      <w:pPr>
        <w:pStyle w:val="null3"/>
      </w:pPr>
      <w:r>
        <w:rPr>
          <w:rFonts w:ascii="仿宋_GB2312" w:hAnsi="仿宋_GB2312" w:cs="仿宋_GB2312" w:eastAsia="仿宋_GB2312"/>
        </w:rPr>
        <w:t>4、项目经理资质要求：拟派项目经理须具有市政公用工程专业注册建造师二级（含二级）以上资格和安全生产考核合格B证，且无在建工程、无不良记录（提供无在建工程、无不良记录承诺书）；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pPr>
      <w:r>
        <w:rPr>
          <w:rFonts w:ascii="仿宋_GB2312" w:hAnsi="仿宋_GB2312" w:cs="仿宋_GB2312" w:eastAsia="仿宋_GB2312"/>
        </w:rPr>
        <w:t>7、中小企业声明函：本项目专门面向中小企业采购，供应商须提供中小企业声明函。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汉中市南郑县阳春镇安坎村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0916-5679137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汉中市南郑区阳春镇人民政府</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地址：汉中市汉台区北关街道办事处留侯路东方明珠小区临街商铺二层＃1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996,995.29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阳春镇陈村2025年“千万工程”示范村基础设施提升改造项目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标的名称：阳春镇陈村2025年“千万工程”示范村基础设施提升改造项目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阳春镇陈村2025年“千万工程”示范村基础设施提升改造项目，主要建设内容：村级活动场所地面平整1500m²、村级活动场所周边绿化及整治提升，清理水库周边杂灌林，新建8米长6米高制种油菜宣传牌1面等（具体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供应商应具备建设行政部门核发的市政公用工程施工总承包三级（含三级）及以上资质，安全生产许可证合格有效；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拟派项目经理须具有市政公用工程专业注册建造师二级（含二级）以上资格和安全生产考核合格B证，且无在建工程、无不良记录（提供无在建工程、无不良记录承诺书）；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及出入口管理、交通组织安排及道路安排。1、完全满足采购需求，无缺陷：得10分； 2、内容每存在1处缺陷：扣1分； 3、未提供或内容存在10处及以上缺陷：得0分。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③施工质量通病防治措施。1、完全满足采购需求，无缺陷：得9分；2、内容每存在1处缺陷：扣1分；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供应商针对本项目编制完善的资源配置计划，内容包含:①劳动力资源配置计划;②施工机械设备投入计划;③主要施工材料供应计划。1、完全满足采购需求，无缺陷：得6分； 2、内容每存在1处缺陷：扣1分；3、未提供或内容存在6处及以上缺陷：得0分。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供应商针对本项目编制完善的施工进度计划，内容包含：①施工进度计划横道图②进度计划保证措施③工期保证措施。1、完全满足采购需求，无缺陷：得9分； 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1、完全满足采购需求，无缺陷：得10分；2、内容每存在1处缺陷：扣1分；3、未提供或内容存在10处及以上缺陷：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1、完全满足采购需求，无缺陷：得5分；2、内容每存在1处缺陷：扣1分；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供应商针对本项目编制完整的文明施工措施，内容包含：①文明施工管理目标及技术措施②文明施工现场管理：材料管理、防扰民措施。1、完全满足采购需求，无缺陷：得5分；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结合本项目的实际，供应商应提供详细、完善的施工保修承诺，内容包含: ①保修范围及措施;②保修责任;③保修承诺。1、完全满足采购需求，无缺陷：得6分；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供应商提供2022年1月1日起至今已完成的类似业绩证明材料，每提供1项得2.5分，最多得5分。 评审依据：业绩以合同和（中标）成交通知书加盖公章的复印件为依据（时间以合同签订时间为准），未提供或提供不全的不得分。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