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版本号：SXTR2025-SXHZ-0420250515002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2025年南郑区小南海烤烟基地烤炉建设项目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SXTR2025-SXHZ-04</w:t>
      </w:r>
      <w:r>
        <w:br/>
      </w:r>
      <w:r>
        <w:br/>
      </w:r>
      <w:r>
        <w:br/>
      </w:r>
    </w:p>
    <w:p>
      <w:pPr>
        <w:pStyle w:val="null3"/>
        <w:jc w:val="center"/>
        <w:outlineLvl w:val="2"/>
      </w:pPr>
      <w:r>
        <w:rPr>
          <w:rFonts w:ascii="仿宋_GB2312" w:hAnsi="仿宋_GB2312" w:cs="仿宋_GB2312" w:eastAsia="仿宋_GB2312"/>
          <w:sz w:val="28"/>
          <w:b/>
        </w:rPr>
        <w:t>汉中市南郑区小南海镇人民政府</w:t>
      </w:r>
    </w:p>
    <w:p>
      <w:pPr>
        <w:pStyle w:val="null3"/>
        <w:jc w:val="center"/>
        <w:outlineLvl w:val="2"/>
      </w:pPr>
      <w:r>
        <w:rPr>
          <w:rFonts w:ascii="仿宋_GB2312" w:hAnsi="仿宋_GB2312" w:cs="仿宋_GB2312" w:eastAsia="仿宋_GB2312"/>
          <w:sz w:val="28"/>
          <w:b/>
        </w:rPr>
        <w:t>陕西同睿建设项目管理有限公司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陕西同睿建设项目管理有限公司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汉中市南郑区小南海镇人民政府</w:t>
      </w:r>
      <w:r>
        <w:rPr>
          <w:rFonts w:ascii="仿宋_GB2312" w:hAnsi="仿宋_GB2312" w:cs="仿宋_GB2312" w:eastAsia="仿宋_GB2312"/>
        </w:rPr>
        <w:t>委托，拟对</w:t>
      </w:r>
      <w:r>
        <w:rPr>
          <w:rFonts w:ascii="仿宋_GB2312" w:hAnsi="仿宋_GB2312" w:cs="仿宋_GB2312" w:eastAsia="仿宋_GB2312"/>
        </w:rPr>
        <w:t>2025年南郑区小南海烤烟基地烤炉建设项目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SXTR2025-SXHZ-04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2025年南郑区小南海烤烟基地烤炉建设项目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南郑区小南海烤烟基地烤炉建设项目的地点位于南郑区小南海镇，主要建设内容为：新建烤烟炉50座用于改善烤烟产业基础设施，提高农村生产经营的组织化、协作化、规模化，不断提高脱贫人口收入水平，促进烤烟产业进一步发展壮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采购包1（2025年度南郑区小南海镇烤烟基地烤炉建设项目）：属于专门面向中小企业采购。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1、供应商须具备建设行政主管部门核发的建筑工程施工总承包三级及以上资质，有效的安全生产许可证；：供应商须具备建设行政主管部门核发的建筑工程施工总承包三级及以上资质，有效的安全生产许可证；</w:t>
      </w:r>
    </w:p>
    <w:p>
      <w:pPr>
        <w:pStyle w:val="null3"/>
      </w:pPr>
      <w:r>
        <w:rPr>
          <w:rFonts w:ascii="仿宋_GB2312" w:hAnsi="仿宋_GB2312" w:cs="仿宋_GB2312" w:eastAsia="仿宋_GB2312"/>
        </w:rPr>
        <w:t>2、拟派项目负责人资质和专业要求。：拟派项目经理须具备建筑工程专业二级及以上注册建造师资格，并具有行业主管部门核发的（B）类安全考核合格证书，且无在建项目；</w:t>
      </w:r>
    </w:p>
    <w:p>
      <w:pPr>
        <w:pStyle w:val="null3"/>
      </w:pPr>
      <w:r>
        <w:rPr>
          <w:rFonts w:ascii="仿宋_GB2312" w:hAnsi="仿宋_GB2312" w:cs="仿宋_GB2312" w:eastAsia="仿宋_GB2312"/>
        </w:rPr>
        <w:t>3、具有独立承担民事责任能力的法人、其他组织或自然人，并出具合法有效的营业执照或事业单位法人证书等国家规定的相关证明，自然人参与的提供其身份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4、法定代表人授权委托书（附法定代表人身份证复印件及被授权人身份证复印件）；法定代表人直接参加投标只须提供法定代表人证明书（附法定代表人身份证复印件）；：法定代表人授权委托书（附法定代表人身份证复印件及被授权人身份证复印件）；法定代表人直接参加投标只须提供法定代表人证明书（附法定代表人身份证复印件）；</w:t>
      </w:r>
    </w:p>
    <w:p>
      <w:pPr>
        <w:pStyle w:val="null3"/>
      </w:pPr>
      <w:r>
        <w:rPr>
          <w:rFonts w:ascii="仿宋_GB2312" w:hAnsi="仿宋_GB2312" w:cs="仿宋_GB2312" w:eastAsia="仿宋_GB2312"/>
        </w:rPr>
        <w:t>5、供应商须具有健全的财务会计制度、具有履行合同所必需的设备和专业技术能力、具有依法缴纳税收和社会保障资金的良好记录，以及参加本项目采购活动前三年内经营活动无重大违法活动记录，供应商提供《汉中市政府采购供应商资格承诺函》：供应商须具有健全的财务会计制度、具有履行合同所必需的设备和专业技术能力、具有依法缴纳税收和社会保障资金的良好记录，以及参加本项目采购活动前三年内经营活动无重大违法活动记录，供应商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汉中市南郑区小南海镇人民政府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小南海镇郑家坝村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汉中市南郑区小南海镇人民政府经办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15591922900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陕西同睿建设项目管理有限公司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汉中市南郑区电商产业园一号馆1-8室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周先生/安先生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13992613344/18191622626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代理服务费收费标准：本项目采购代理服务费参照计价格【2011】534号文件招标代理服务收费标准计取，由成交供应商以供应商成交金额为基数向采购代理机构缴纳。</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汉中市南郑区小南海镇人民政府</w:t>
      </w:r>
      <w:r>
        <w:rPr>
          <w:rFonts w:ascii="仿宋_GB2312" w:hAnsi="仿宋_GB2312" w:cs="仿宋_GB2312" w:eastAsia="仿宋_GB2312"/>
        </w:rPr>
        <w:t>和</w:t>
      </w:r>
      <w:r>
        <w:rPr>
          <w:rFonts w:ascii="仿宋_GB2312" w:hAnsi="仿宋_GB2312" w:cs="仿宋_GB2312" w:eastAsia="仿宋_GB2312"/>
        </w:rPr>
        <w:t>陕西同睿建设项目管理有限公司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汉中市南郑区小南海镇人民政府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陕西同睿建设项目管理有限公司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汉中市南郑区小南海镇人民政府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陕西同睿建设项目管理有限公司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国家相关标准、规范及有关技术文件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陕西同睿建设项目管理有限公司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陕西同睿建设项目管理有限公司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陕西同睿建设项目管理有限公司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联系人：周先生</w:t>
      </w:r>
    </w:p>
    <w:p>
      <w:pPr>
        <w:pStyle w:val="null3"/>
      </w:pPr>
      <w:r>
        <w:rPr>
          <w:rFonts w:ascii="仿宋_GB2312" w:hAnsi="仿宋_GB2312" w:cs="仿宋_GB2312" w:eastAsia="仿宋_GB2312"/>
        </w:rPr>
        <w:t>联系电话：13992613344</w:t>
      </w:r>
    </w:p>
    <w:p>
      <w:pPr>
        <w:pStyle w:val="null3"/>
      </w:pPr>
      <w:r>
        <w:rPr>
          <w:rFonts w:ascii="仿宋_GB2312" w:hAnsi="仿宋_GB2312" w:cs="仿宋_GB2312" w:eastAsia="仿宋_GB2312"/>
        </w:rPr>
        <w:t>地址：汉中市南郑区电商产业园一号馆1-8</w:t>
      </w:r>
    </w:p>
    <w:p>
      <w:pPr>
        <w:pStyle w:val="null3"/>
      </w:pPr>
      <w:r>
        <w:rPr>
          <w:rFonts w:ascii="仿宋_GB2312" w:hAnsi="仿宋_GB2312" w:cs="仿宋_GB2312" w:eastAsia="仿宋_GB2312"/>
        </w:rPr>
        <w:t>邮编：723100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1,250,000.00</w:t>
      </w:r>
    </w:p>
    <w:p>
      <w:pPr>
        <w:pStyle w:val="null3"/>
      </w:pPr>
      <w:r>
        <w:rPr>
          <w:rFonts w:ascii="仿宋_GB2312" w:hAnsi="仿宋_GB2312" w:cs="仿宋_GB2312" w:eastAsia="仿宋_GB2312"/>
        </w:rPr>
        <w:t>采购包最高限价（元）: 1,249,837.19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2025年南郑区小南海烤烟基地烤炉建设项目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标的名称：2025年南郑区小南海烤烟基地烤炉建设项目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满足采购文件要求</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经营活动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供应商须具备建设行政主管部门核发的建筑工程施工总承包三级及以上资质，有效的安全生产许可证；</w:t>
            </w:r>
          </w:p>
        </w:tc>
        <w:tc>
          <w:tcPr>
            <w:tcW w:type="dxa" w:w="3322"/>
          </w:tcPr>
          <w:p>
            <w:pPr>
              <w:pStyle w:val="null3"/>
            </w:pPr>
            <w:r>
              <w:rPr>
                <w:rFonts w:ascii="仿宋_GB2312" w:hAnsi="仿宋_GB2312" w:cs="仿宋_GB2312" w:eastAsia="仿宋_GB2312"/>
              </w:rPr>
              <w:t>供应商须具备建设行政主管部门核发的建筑工程施工总承包三级及以上资质，有效的安全生产许可证；</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拟派项目经理须具备建筑工程专业二级及以上注册建造师资格，并具有行业主管部门核发的（B）类安全考核合格证书，且无在建项目；</w:t>
            </w:r>
          </w:p>
        </w:tc>
        <w:tc>
          <w:tcPr>
            <w:tcW w:type="dxa" w:w="1661"/>
          </w:tcPr>
          <w:p>
            <w:pPr>
              <w:pStyle w:val="null3"/>
            </w:pPr>
            <w:r>
              <w:rPr>
                <w:rFonts w:ascii="仿宋_GB2312" w:hAnsi="仿宋_GB2312" w:cs="仿宋_GB2312" w:eastAsia="仿宋_GB2312"/>
              </w:rPr>
              <w:t>项目管理机构组成表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法定代表人授权委托书（附法定代表人身份证复印件及被授权人身份证复印件）；法定代表人直接参加投标只须提供法定代表人证明书（附法定代表人身份证复印件）；</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法定代表人授权委托书（附法定代表人身份证复印件及被授权人身份证复印件）；法定代表人直接参加投标只须提供法定代表人证明书（附法定代表人身份证复印件）；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经营活动无重大违法活动记录，供应商提供《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经营活动无重大违法活动记录，供应商提供《汉中市政府采购供应商资格承诺函》</w:t>
            </w:r>
          </w:p>
        </w:tc>
        <w:tc>
          <w:tcPr>
            <w:tcW w:type="dxa" w:w="1661"/>
          </w:tcPr>
          <w:p>
            <w:pPr>
              <w:pStyle w:val="null3"/>
            </w:pPr>
            <w:r>
              <w:rPr>
                <w:rFonts w:ascii="仿宋_GB2312" w:hAnsi="仿宋_GB2312" w:cs="仿宋_GB2312" w:eastAsia="仿宋_GB2312"/>
              </w:rPr>
              <w:t>响应文件封面 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报价得分</w:t>
            </w:r>
          </w:p>
        </w:tc>
        <w:tc>
          <w:tcPr>
            <w:tcW w:type="dxa" w:w="2492"/>
          </w:tcPr>
          <w:p>
            <w:pPr>
              <w:pStyle w:val="null3"/>
            </w:pPr>
            <w:r>
              <w:rPr>
                <w:rFonts w:ascii="仿宋_GB2312" w:hAnsi="仿宋_GB2312" w:cs="仿宋_GB2312" w:eastAsia="仿宋_GB2312"/>
              </w:rPr>
              <w:t>1、满足磋商文件要求且磋商响应最低的报价（最后的响应报价）为评标基准价，其价格分为满分。其他磋商供应商的价格分统一按照下列公式计算：磋商报价得分=（评标基准价/评标报价）×30。 2、本项目专门面向中小企业采购，不再给予供应商价格扣除优惠政策；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商务标得分（项目部组成）</w:t>
            </w:r>
          </w:p>
        </w:tc>
        <w:tc>
          <w:tcPr>
            <w:tcW w:type="dxa" w:w="2492"/>
          </w:tcPr>
          <w:p>
            <w:pPr>
              <w:pStyle w:val="null3"/>
            </w:pPr>
            <w:r>
              <w:rPr>
                <w:rFonts w:ascii="仿宋_GB2312" w:hAnsi="仿宋_GB2312" w:cs="仿宋_GB2312" w:eastAsia="仿宋_GB2312"/>
              </w:rPr>
              <w:t>项目部组成：机构设置及主要管理人员专业配置合理，齐全，符合本项目实际需求； 主要管理人员包括：项目经理、技术负责人、专职安全员等。（只提供项目经理得1分，每多提供一个人员加1分，本项最高得4分）；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商务标得分（投标人类似业绩）</w:t>
            </w:r>
          </w:p>
        </w:tc>
        <w:tc>
          <w:tcPr>
            <w:tcW w:type="dxa" w:w="2492"/>
          </w:tcPr>
          <w:p>
            <w:pPr>
              <w:pStyle w:val="null3"/>
            </w:pPr>
            <w:r>
              <w:rPr>
                <w:rFonts w:ascii="仿宋_GB2312" w:hAnsi="仿宋_GB2312" w:cs="仿宋_GB2312" w:eastAsia="仿宋_GB2312"/>
              </w:rPr>
              <w:t>供应商提供2020年至今完成类似工程施工业绩，每提供一份得3分，此项最高得6分； 无类似业绩不得分。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技术标得分（施工方案）</w:t>
            </w:r>
          </w:p>
        </w:tc>
        <w:tc>
          <w:tcPr>
            <w:tcW w:type="dxa" w:w="2492"/>
          </w:tcPr>
          <w:p>
            <w:pPr>
              <w:pStyle w:val="null3"/>
            </w:pPr>
            <w:r>
              <w:rPr>
                <w:rFonts w:ascii="仿宋_GB2312" w:hAnsi="仿宋_GB2312" w:cs="仿宋_GB2312" w:eastAsia="仿宋_GB2312"/>
              </w:rPr>
              <w:t>施工方案10分 针对本项目提供科学、可行、合理的施工方案；（优10-7分，良6-4分，一般3-0分）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技术标得分（施工质量保证措施）</w:t>
            </w:r>
          </w:p>
        </w:tc>
        <w:tc>
          <w:tcPr>
            <w:tcW w:type="dxa" w:w="2492"/>
          </w:tcPr>
          <w:p>
            <w:pPr>
              <w:pStyle w:val="null3"/>
            </w:pPr>
            <w:r>
              <w:rPr>
                <w:rFonts w:ascii="仿宋_GB2312" w:hAnsi="仿宋_GB2312" w:cs="仿宋_GB2312" w:eastAsia="仿宋_GB2312"/>
              </w:rPr>
              <w:t>措施科学、合理、可行；（优10-7分，良6-4分，一般3-0分）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技术标得分（施工安全保证措施）</w:t>
            </w:r>
          </w:p>
        </w:tc>
        <w:tc>
          <w:tcPr>
            <w:tcW w:type="dxa" w:w="2492"/>
          </w:tcPr>
          <w:p>
            <w:pPr>
              <w:pStyle w:val="null3"/>
            </w:pPr>
            <w:r>
              <w:rPr>
                <w:rFonts w:ascii="仿宋_GB2312" w:hAnsi="仿宋_GB2312" w:cs="仿宋_GB2312" w:eastAsia="仿宋_GB2312"/>
              </w:rPr>
              <w:t>措施科学、合理、可行；（优10-7分，良6-4分，一般3-0分）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技术标得分（施工进度计划及工期保证措施）</w:t>
            </w:r>
          </w:p>
        </w:tc>
        <w:tc>
          <w:tcPr>
            <w:tcW w:type="dxa" w:w="2492"/>
          </w:tcPr>
          <w:p>
            <w:pPr>
              <w:pStyle w:val="null3"/>
            </w:pPr>
            <w:r>
              <w:rPr>
                <w:rFonts w:ascii="仿宋_GB2312" w:hAnsi="仿宋_GB2312" w:cs="仿宋_GB2312" w:eastAsia="仿宋_GB2312"/>
              </w:rPr>
              <w:t>措施科学、合理、可行；（优10-7分，良6-4分，一般3-0分）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技术标得分（主要机械设备、劳动力安排计划）</w:t>
            </w:r>
          </w:p>
        </w:tc>
        <w:tc>
          <w:tcPr>
            <w:tcW w:type="dxa" w:w="2492"/>
          </w:tcPr>
          <w:p>
            <w:pPr>
              <w:pStyle w:val="null3"/>
            </w:pPr>
            <w:r>
              <w:rPr>
                <w:rFonts w:ascii="仿宋_GB2312" w:hAnsi="仿宋_GB2312" w:cs="仿宋_GB2312" w:eastAsia="仿宋_GB2312"/>
              </w:rPr>
              <w:t>机械设备配备齐全、劳动力配置全面、科学、合理；（优10-7分，良6-4分，一般3-0分）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技术标得分（文明施工及环境保护措施）</w:t>
            </w:r>
          </w:p>
        </w:tc>
        <w:tc>
          <w:tcPr>
            <w:tcW w:type="dxa" w:w="2492"/>
          </w:tcPr>
          <w:p>
            <w:pPr>
              <w:pStyle w:val="null3"/>
            </w:pPr>
            <w:r>
              <w:rPr>
                <w:rFonts w:ascii="仿宋_GB2312" w:hAnsi="仿宋_GB2312" w:cs="仿宋_GB2312" w:eastAsia="仿宋_GB2312"/>
              </w:rPr>
              <w:t>措施科学、合理、可行；（优5-3分，良3-2分，一般2-0分）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详细完整的售后服务方案。包含但不限于：日常维护，应急响应速度及措施，质量保证承诺等进行综合赋分，方案详实充分，针对性强的计4-5分，方案内容充分，但针对性不强的计2-3分，方案内容叙述简单且无针对性的计1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