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版本号：SXBPRZB-2025051120250526001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南郑区人民医院内科综合楼监控终端设施设备采购项目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SXBPRZB-20250511</w:t>
      </w:r>
      <w:r>
        <w:br/>
      </w:r>
      <w:r>
        <w:br/>
      </w:r>
      <w:r>
        <w:br/>
      </w:r>
    </w:p>
    <w:p>
      <w:pPr>
        <w:pStyle w:val="null3"/>
        <w:jc w:val="center"/>
        <w:outlineLvl w:val="2"/>
      </w:pPr>
      <w:r>
        <w:rPr>
          <w:rFonts w:ascii="仿宋_GB2312" w:hAnsi="仿宋_GB2312" w:cs="仿宋_GB2312" w:eastAsia="仿宋_GB2312"/>
          <w:sz w:val="28"/>
          <w:b/>
        </w:rPr>
        <w:t>汉中市南郑区人民医院</w:t>
      </w:r>
    </w:p>
    <w:p>
      <w:pPr>
        <w:pStyle w:val="null3"/>
        <w:jc w:val="center"/>
        <w:outlineLvl w:val="2"/>
      </w:pPr>
      <w:r>
        <w:rPr>
          <w:rFonts w:ascii="仿宋_GB2312" w:hAnsi="仿宋_GB2312" w:cs="仿宋_GB2312" w:eastAsia="仿宋_GB2312"/>
          <w:sz w:val="28"/>
          <w:b/>
        </w:rPr>
        <w:t>陕西博鹏瑞项目管理有限公司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陕西博鹏瑞项目管理有限公司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汉中市南郑区人民医院</w:t>
      </w:r>
      <w:r>
        <w:rPr>
          <w:rFonts w:ascii="仿宋_GB2312" w:hAnsi="仿宋_GB2312" w:cs="仿宋_GB2312" w:eastAsia="仿宋_GB2312"/>
        </w:rPr>
        <w:t>委托，拟对</w:t>
      </w:r>
      <w:r>
        <w:rPr>
          <w:rFonts w:ascii="仿宋_GB2312" w:hAnsi="仿宋_GB2312" w:cs="仿宋_GB2312" w:eastAsia="仿宋_GB2312"/>
        </w:rPr>
        <w:t>南郑区人民医院内科综合楼监控终端设施设备采购项目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SXBPRZB-20250511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南郑区人民医院内科综合楼监控终端设施设备采购项目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内科综合楼监控终端设施设备，详见技术参数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1、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2、供应商应授权合法的人员参加谈判全过程：2、法定代表人身份证明书原件和法定代表人授权书原件及被授权人身份证原件（法定代表人直接参加投标只须提供法定代表人身份证明书原件及身份证原件）</w:t>
      </w:r>
    </w:p>
    <w:p>
      <w:pPr>
        <w:pStyle w:val="null3"/>
      </w:pPr>
      <w:r>
        <w:rPr>
          <w:rFonts w:ascii="仿宋_GB2312" w:hAnsi="仿宋_GB2312" w:cs="仿宋_GB2312" w:eastAsia="仿宋_GB2312"/>
        </w:rPr>
        <w:t>3、汉中市政府采购供应商资格承诺函：3、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南郑区城关镇青年路9号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18691629520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陕西博鹏瑞项目管理有限公司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汉台区兴汉路南缙颐·久玺台售楼部2楼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0916-8889891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采购包1：375,500.00元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开户名称：陕西博鹏瑞项目管理有限公司</w:t>
            </w:r>
          </w:p>
          <w:p>
            <w:pPr>
              <w:pStyle w:val="null3"/>
            </w:pPr>
            <w:r>
              <w:rPr>
                <w:rFonts w:ascii="仿宋_GB2312" w:hAnsi="仿宋_GB2312" w:cs="仿宋_GB2312" w:eastAsia="仿宋_GB2312"/>
              </w:rPr>
              <w:t>开户银行：工行汉中人民路支行</w:t>
            </w:r>
          </w:p>
          <w:p>
            <w:pPr>
              <w:pStyle w:val="null3"/>
            </w:pPr>
            <w:r>
              <w:rPr>
                <w:rFonts w:ascii="仿宋_GB2312" w:hAnsi="仿宋_GB2312" w:cs="仿宋_GB2312" w:eastAsia="仿宋_GB2312"/>
              </w:rPr>
              <w:t>银行账号：2606053619200259834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代理服务费收费标准：在领取成交通知书前，需向采购代理机构一次性缴纳采购代理服务费。 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汉中市南郑区人民医院</w:t>
      </w:r>
      <w:r>
        <w:rPr>
          <w:rFonts w:ascii="仿宋_GB2312" w:hAnsi="仿宋_GB2312" w:cs="仿宋_GB2312" w:eastAsia="仿宋_GB2312"/>
        </w:rPr>
        <w:t>和</w:t>
      </w:r>
      <w:r>
        <w:rPr>
          <w:rFonts w:ascii="仿宋_GB2312" w:hAnsi="仿宋_GB2312" w:cs="仿宋_GB2312" w:eastAsia="仿宋_GB2312"/>
        </w:rPr>
        <w:t>陕西博鹏瑞项目管理有限公司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汉中市南郑区人民医院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陕西博鹏瑞项目管理有限公司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汉中市南郑区人民医院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陕西博鹏瑞项目管理有限公司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联系人：邓工</w:t>
      </w:r>
    </w:p>
    <w:p>
      <w:pPr>
        <w:pStyle w:val="null3"/>
      </w:pPr>
      <w:r>
        <w:rPr>
          <w:rFonts w:ascii="仿宋_GB2312" w:hAnsi="仿宋_GB2312" w:cs="仿宋_GB2312" w:eastAsia="仿宋_GB2312"/>
        </w:rPr>
        <w:t>联系电话：0916-8889891</w:t>
      </w:r>
    </w:p>
    <w:p>
      <w:pPr>
        <w:pStyle w:val="null3"/>
      </w:pPr>
      <w:r>
        <w:rPr>
          <w:rFonts w:ascii="仿宋_GB2312" w:hAnsi="仿宋_GB2312" w:cs="仿宋_GB2312" w:eastAsia="仿宋_GB2312"/>
        </w:rPr>
        <w:t>地址：汉台区兴汉路南缙颐·久玺台售楼部2楼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内科综合楼监控终端设施设备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375,500.00</w:t>
      </w:r>
    </w:p>
    <w:p>
      <w:pPr>
        <w:pStyle w:val="null3"/>
      </w:pPr>
      <w:r>
        <w:rPr>
          <w:rFonts w:ascii="仿宋_GB2312" w:hAnsi="仿宋_GB2312" w:cs="仿宋_GB2312" w:eastAsia="仿宋_GB2312"/>
        </w:rPr>
        <w:t>采购包最高限价（元）: 375,500.00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监控终端设施设备采购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标的名称：监控终端设施设备采购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4"/>
              <w:gridCol w:w="262"/>
              <w:gridCol w:w="1531"/>
              <w:gridCol w:w="197"/>
              <w:gridCol w:w="186"/>
              <w:gridCol w:w="189"/>
            </w:tblGrid>
            <w:tr>
              <w:tc>
                <w:tcPr>
                  <w:tcW w:type="dxa" w:w="17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6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53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技术规格</w:t>
                  </w:r>
                </w:p>
              </w:tc>
              <w:tc>
                <w:tcPr>
                  <w:tcW w:type="dxa" w:w="19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网络硬盘录像机</w:t>
                  </w:r>
                </w:p>
              </w:tc>
              <w:tc>
                <w:tcPr>
                  <w:tcW w:type="dxa" w:w="1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★1.产品由冗余电源芯片进行负载均衡控制，当一个电源出现故障时，另一个电源可以接管其工作，在更换故障电源后，恢复到两个电源协同负载均衡工作</w:t>
                  </w:r>
                  <w:r>
                    <w:br/>
                  </w:r>
                  <w:r>
                    <w:rPr>
                      <w:rFonts w:ascii="仿宋_GB2312" w:hAnsi="仿宋_GB2312" w:cs="仿宋_GB2312" w:eastAsia="仿宋_GB2312"/>
                      <w:sz w:val="24"/>
                      <w:color w:val="000000"/>
                    </w:rPr>
                    <w:t>可接入</w:t>
                  </w:r>
                  <w:r>
                    <w:rPr>
                      <w:rFonts w:ascii="仿宋_GB2312" w:hAnsi="仿宋_GB2312" w:cs="仿宋_GB2312" w:eastAsia="仿宋_GB2312"/>
                      <w:sz w:val="24"/>
                      <w:color w:val="000000"/>
                    </w:rPr>
                    <w:t>1T、2T、3T、4T、6T、8T、10T、12TB、14TB、16TB、18TB容量的SATA接口硬盘</w:t>
                  </w:r>
                  <w:r>
                    <w:br/>
                  </w:r>
                  <w:r>
                    <w:rPr>
                      <w:rFonts w:ascii="仿宋_GB2312" w:hAnsi="仿宋_GB2312" w:cs="仿宋_GB2312" w:eastAsia="仿宋_GB2312"/>
                      <w:sz w:val="24"/>
                      <w:color w:val="000000"/>
                    </w:rPr>
                    <w:t>2.可接入64路16盘位分辨率为1920×1080的视频图像，支持最大接入带宽384Mbps，最大存储带宽384Mbps，最大转发带宽256Mbps，最大回放带宽256Mbps</w:t>
                  </w:r>
                  <w:r>
                    <w:br/>
                  </w:r>
                  <w:r>
                    <w:rPr>
                      <w:rFonts w:ascii="仿宋_GB2312" w:hAnsi="仿宋_GB2312" w:cs="仿宋_GB2312" w:eastAsia="仿宋_GB2312"/>
                      <w:sz w:val="24"/>
                      <w:color w:val="000000"/>
                    </w:rPr>
                    <w:t>设备具有</w:t>
                  </w:r>
                  <w:r>
                    <w:rPr>
                      <w:rFonts w:ascii="仿宋_GB2312" w:hAnsi="仿宋_GB2312" w:cs="仿宋_GB2312" w:eastAsia="仿宋_GB2312"/>
                      <w:sz w:val="24"/>
                      <w:color w:val="000000"/>
                    </w:rPr>
                    <w:t>2个HDMI接口，2个VGA接口，1个CVBS接口，支持3组异源输出，每组输出可独立配置全局音频预览</w:t>
                  </w:r>
                  <w:r>
                    <w:br/>
                  </w:r>
                  <w:r>
                    <w:rPr>
                      <w:rFonts w:ascii="仿宋_GB2312" w:hAnsi="仿宋_GB2312" w:cs="仿宋_GB2312" w:eastAsia="仿宋_GB2312"/>
                      <w:sz w:val="24"/>
                      <w:color w:val="000000"/>
                    </w:rPr>
                    <w:t>★3.HDMI接口最大支持8K输出，当一路输出8K时，另一路最高支持1080P输出；两个HDMI接口可同时支持双4K异源输出</w:t>
                  </w:r>
                  <w:r>
                    <w:br/>
                  </w:r>
                  <w:r>
                    <w:rPr>
                      <w:rFonts w:ascii="仿宋_GB2312" w:hAnsi="仿宋_GB2312" w:cs="仿宋_GB2312" w:eastAsia="仿宋_GB2312"/>
                      <w:sz w:val="24"/>
                      <w:color w:val="000000"/>
                    </w:rPr>
                    <w:t>4.CVBS接口支持10档亮度调节；支持PAL和NTSC制式切换；CVBS最大支持16分屏</w:t>
                  </w:r>
                  <w:r>
                    <w:br/>
                  </w:r>
                  <w:r>
                    <w:rPr>
                      <w:rFonts w:ascii="仿宋_GB2312" w:hAnsi="仿宋_GB2312" w:cs="仿宋_GB2312" w:eastAsia="仿宋_GB2312"/>
                      <w:sz w:val="24"/>
                      <w:color w:val="000000"/>
                    </w:rPr>
                    <w:t>★5.显示输出分辨率具有8K(7680×4320)/30Hz, 4K(3840×2160)/60Hz、4K(3840×2160)/30Hz、2K（2560×1440）/60Hz，1080P（1920×1080）/60Hz，UXGA（1600×1200）/60Hz，SXGA（1280×1024）/60Hz，720P（1280×720）/60Hz，XGA（1024×768）/60Hz设置选项</w:t>
                  </w:r>
                  <w:r>
                    <w:br/>
                  </w:r>
                  <w:r>
                    <w:rPr>
                      <w:rFonts w:ascii="仿宋_GB2312" w:hAnsi="仿宋_GB2312" w:cs="仿宋_GB2312" w:eastAsia="仿宋_GB2312"/>
                      <w:sz w:val="24"/>
                      <w:color w:val="000000"/>
                    </w:rPr>
                    <w:t>6.可同时解码输出32路H.265编码、30fps、1920×1080格式的视频图像，或同时解码输出8路 H.265编码、25fps、4096×2160或者3840×2160格式的视频图像，或同时解码输出6路 H.265编码、20fps、4000×3000格式的视频图像，或同时解码输出2路H.265编码、25fps、8160×3616格式的视频图像</w:t>
                  </w:r>
                  <w:r>
                    <w:br/>
                  </w:r>
                  <w:r>
                    <w:rPr>
                      <w:rFonts w:ascii="仿宋_GB2312" w:hAnsi="仿宋_GB2312" w:cs="仿宋_GB2312" w:eastAsia="仿宋_GB2312"/>
                      <w:sz w:val="24"/>
                      <w:color w:val="000000"/>
                    </w:rPr>
                    <w:t>★7.支持同时接入多台测温人脸门禁一体机，可在同一界面上实时显示通道的过人信息，可动态弹窗展示来访人员认证信息、是否戴口罩、体温信息等，并语音播报体温异常、未戴口罩等</w:t>
                  </w:r>
                  <w:r>
                    <w:br/>
                  </w:r>
                  <w:r>
                    <w:rPr>
                      <w:rFonts w:ascii="仿宋_GB2312" w:hAnsi="仿宋_GB2312" w:cs="仿宋_GB2312" w:eastAsia="仿宋_GB2312"/>
                      <w:sz w:val="24"/>
                      <w:color w:val="000000"/>
                    </w:rPr>
                    <w:t>8.接入带有人体测温功能的IPC，支持在预览界面以卡片形式实时展示体温信息，体温正常为绿色，体温异常为红色，支持根据体温状态联动语音输出，语音支持“体温正常”、“体温异常”。支持按体温状态、温度范围检索人脸图片</w:t>
                  </w:r>
                  <w:r>
                    <w:br/>
                  </w:r>
                  <w:r>
                    <w:rPr>
                      <w:rFonts w:ascii="仿宋_GB2312" w:hAnsi="仿宋_GB2312" w:cs="仿宋_GB2312" w:eastAsia="仿宋_GB2312"/>
                      <w:sz w:val="24"/>
                      <w:color w:val="000000"/>
                    </w:rPr>
                    <w:t>9.支持热成像侦测，接入带有火点检测、船只检测、吸烟检测、温差报警功能的IPC，当触发报警时，样机可联动录像、抓拍并保存图片、弹出报警画面、声音警告、上传中心、发送邮件、触发报警输出，可联动外接球机预置点、球机轮巡、球机轨迹，并按通道、时间、类型检索报警图片，检索结果支持图片和列表两种展现形式</w:t>
                  </w:r>
                  <w:r>
                    <w:br/>
                  </w:r>
                  <w:r>
                    <w:rPr>
                      <w:rFonts w:ascii="仿宋_GB2312" w:hAnsi="仿宋_GB2312" w:cs="仿宋_GB2312" w:eastAsia="仿宋_GB2312"/>
                      <w:sz w:val="24"/>
                      <w:color w:val="000000"/>
                    </w:rPr>
                    <w:t>★10.最大可接入64路支持高空抛物行为检测的IPC，可联动录像、抓图、蜂鸣报警、预置点、邮件、本地报警输出、IPC报警输出以及日志记录；支持按通道、日期对高空抛物行为进行录像检索，以及关联录像回放，并导出图片；支持在电脑客户端和手机客户端展示高空抛物事件、回放高空抛物轨迹信息；支持在本地预览界面实时展示高空抛物事件轨迹并弹窗回放轨迹信息</w:t>
                  </w:r>
                  <w:r>
                    <w:br/>
                  </w:r>
                  <w:r>
                    <w:rPr>
                      <w:rFonts w:ascii="仿宋_GB2312" w:hAnsi="仿宋_GB2312" w:cs="仿宋_GB2312" w:eastAsia="仿宋_GB2312"/>
                      <w:sz w:val="24"/>
                      <w:color w:val="000000"/>
                    </w:rPr>
                    <w:t>11.支持在线检查西数硬盘的运行状态、健康状态，包括低温警报、高温警报、异步信号恢复警报、重新分配扇区技术警报，读取恢复警报、无法修复的错误警报、机械故障警报、接口CRC警报、机械故障警报、硬复位警报、软复位警报、磁头加载率警报、电源接通复位率警报、总工作负载率警报、生命周期内工作负载总量警报、上电复位警报、磁头加载计数警报、电源开启小时警报</w:t>
                  </w:r>
                  <w:r>
                    <w:br/>
                  </w:r>
                  <w:r>
                    <w:rPr>
                      <w:rFonts w:ascii="仿宋_GB2312" w:hAnsi="仿宋_GB2312" w:cs="仿宋_GB2312" w:eastAsia="仿宋_GB2312"/>
                      <w:sz w:val="24"/>
                      <w:color w:val="000000"/>
                    </w:rPr>
                    <w:t>12.具有磁盘阵列功能，支持RAID0、RAID1、RAID5、RAID6、RAID10、RAID50、RAID60、JBOD模式；支持一键创建RAID5阵列功能</w:t>
                  </w:r>
                  <w:r>
                    <w:br/>
                  </w:r>
                  <w:r>
                    <w:rPr>
                      <w:rFonts w:ascii="仿宋_GB2312" w:hAnsi="仿宋_GB2312" w:cs="仿宋_GB2312" w:eastAsia="仿宋_GB2312"/>
                      <w:sz w:val="24"/>
                      <w:color w:val="000000"/>
                    </w:rPr>
                    <w:t>13.支持将设备日志上传到日志服务器，可配置日志服务器IP地址和端口（以公安部检测报告为准）</w:t>
                  </w:r>
                  <w:r>
                    <w:br/>
                  </w:r>
                  <w:r>
                    <w:rPr>
                      <w:rFonts w:ascii="仿宋_GB2312" w:hAnsi="仿宋_GB2312" w:cs="仿宋_GB2312" w:eastAsia="仿宋_GB2312"/>
                      <w:sz w:val="24"/>
                      <w:color w:val="000000"/>
                    </w:rPr>
                    <w:t>标</w:t>
                  </w:r>
                  <w:r>
                    <w:rPr>
                      <w:rFonts w:ascii="仿宋_GB2312" w:hAnsi="仿宋_GB2312" w:cs="仿宋_GB2312" w:eastAsia="仿宋_GB2312"/>
                      <w:sz w:val="24"/>
                      <w:color w:val="000000"/>
                    </w:rPr>
                    <w:t>★号项参数需提供第三方检验报告复印件，针对本项目的厂家授权及售后服务承诺含加盖原厂商鲜章。</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硬盘</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16TB,7200RPM, ≥512MB, SATA ≥6Gb/s</w:t>
                  </w:r>
                  <w:r>
                    <w:br/>
                  </w:r>
                  <w:r>
                    <w:rPr>
                      <w:rFonts w:ascii="仿宋_GB2312" w:hAnsi="仿宋_GB2312" w:cs="仿宋_GB2312" w:eastAsia="仿宋_GB2312"/>
                      <w:sz w:val="24"/>
                      <w:color w:val="000000"/>
                    </w:rPr>
                    <w:t>高转速</w:t>
                  </w:r>
                  <w:r>
                    <w:rPr>
                      <w:rFonts w:ascii="仿宋_GB2312" w:hAnsi="仿宋_GB2312" w:cs="仿宋_GB2312" w:eastAsia="仿宋_GB2312"/>
                      <w:sz w:val="24"/>
                      <w:color w:val="000000"/>
                    </w:rPr>
                    <w:t>≥7200rpm</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RAID应用(搭配NVR)</w:t>
                  </w:r>
                  <w:r>
                    <w:br/>
                  </w:r>
                  <w:r>
                    <w:rPr>
                      <w:rFonts w:ascii="仿宋_GB2312" w:hAnsi="仿宋_GB2312" w:cs="仿宋_GB2312" w:eastAsia="仿宋_GB2312"/>
                      <w:sz w:val="24"/>
                      <w:color w:val="000000"/>
                    </w:rPr>
                    <w:t>≥512MB缓冲区，流畅存储视频有效防止丢帧</w:t>
                  </w:r>
                  <w:r>
                    <w:br/>
                  </w:r>
                  <w:r>
                    <w:rPr>
                      <w:rFonts w:ascii="仿宋_GB2312" w:hAnsi="仿宋_GB2312" w:cs="仿宋_GB2312" w:eastAsia="仿宋_GB2312"/>
                      <w:sz w:val="24"/>
                      <w:color w:val="000000"/>
                    </w:rPr>
                    <w:t>MTBF(平均故障间隔时间)：不小于100万小时</w:t>
                  </w:r>
                  <w:r>
                    <w:br/>
                  </w:r>
                  <w:r>
                    <w:rPr>
                      <w:rFonts w:ascii="仿宋_GB2312" w:hAnsi="仿宋_GB2312" w:cs="仿宋_GB2312" w:eastAsia="仿宋_GB2312"/>
                      <w:sz w:val="24"/>
                      <w:color w:val="000000"/>
                    </w:rPr>
                    <w:t>年写入负载：不小于</w:t>
                  </w:r>
                  <w:r>
                    <w:rPr>
                      <w:rFonts w:ascii="仿宋_GB2312" w:hAnsi="仿宋_GB2312" w:cs="仿宋_GB2312" w:eastAsia="仿宋_GB2312"/>
                      <w:sz w:val="24"/>
                      <w:color w:val="000000"/>
                    </w:rPr>
                    <w:t>550TB</w:t>
                  </w:r>
                  <w:r>
                    <w:br/>
                  </w:r>
                  <w:r>
                    <w:rPr>
                      <w:rFonts w:ascii="仿宋_GB2312" w:hAnsi="仿宋_GB2312" w:cs="仿宋_GB2312" w:eastAsia="仿宋_GB2312"/>
                      <w:sz w:val="24"/>
                      <w:color w:val="000000"/>
                    </w:rPr>
                    <w:t>24×7全天候高效稳定运行</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3年有限质保服务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视频综合平台</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1.≥4路HDMI进+≥24路HDMI出</w:t>
                  </w:r>
                  <w:r>
                    <w:br/>
                  </w:r>
                  <w:r>
                    <w:rPr>
                      <w:rFonts w:ascii="仿宋_GB2312" w:hAnsi="仿宋_GB2312" w:cs="仿宋_GB2312" w:eastAsia="仿宋_GB2312"/>
                      <w:sz w:val="24"/>
                      <w:color w:val="000000"/>
                    </w:rPr>
                    <w:t>具备</w:t>
                  </w:r>
                  <w:r>
                    <w:rPr>
                      <w:rFonts w:ascii="仿宋_GB2312" w:hAnsi="仿宋_GB2312" w:cs="仿宋_GB2312" w:eastAsia="仿宋_GB2312"/>
                      <w:sz w:val="24"/>
                      <w:color w:val="000000"/>
                    </w:rPr>
                    <w:t>≥4个指示灯，可提示故障，可显示板卡运行状态(上电、子板系统异常、网络异常、电源异常等)</w:t>
                  </w:r>
                  <w:r>
                    <w:br/>
                  </w:r>
                  <w:r>
                    <w:rPr>
                      <w:rFonts w:ascii="仿宋_GB2312" w:hAnsi="仿宋_GB2312" w:cs="仿宋_GB2312" w:eastAsia="仿宋_GB2312"/>
                      <w:sz w:val="24"/>
                      <w:color w:val="000000"/>
                    </w:rPr>
                    <w:t>2.可通过网络与NTP服务器进行校时</w:t>
                  </w:r>
                  <w:r>
                    <w:br/>
                  </w:r>
                  <w:r>
                    <w:rPr>
                      <w:rFonts w:ascii="仿宋_GB2312" w:hAnsi="仿宋_GB2312" w:cs="仿宋_GB2312" w:eastAsia="仿宋_GB2312"/>
                      <w:sz w:val="24"/>
                      <w:color w:val="000000"/>
                    </w:rPr>
                    <w:t>3.支持将选定的视频输入切换到选定的视频输出，画面切换时不出现黑屏</w:t>
                  </w:r>
                  <w:r>
                    <w:br/>
                  </w:r>
                  <w:r>
                    <w:rPr>
                      <w:rFonts w:ascii="仿宋_GB2312" w:hAnsi="仿宋_GB2312" w:cs="仿宋_GB2312" w:eastAsia="仿宋_GB2312"/>
                      <w:sz w:val="24"/>
                      <w:color w:val="000000"/>
                    </w:rPr>
                    <w:t>4.支持将一组视频信号按设定顺序在选定的视频输出上逐一显示，可支持多组轮巡同</w:t>
                  </w:r>
                  <w:r>
                    <w:br/>
                  </w:r>
                  <w:r>
                    <w:rPr>
                      <w:rFonts w:ascii="仿宋_GB2312" w:hAnsi="仿宋_GB2312" w:cs="仿宋_GB2312" w:eastAsia="仿宋_GB2312"/>
                      <w:sz w:val="24"/>
                      <w:color w:val="000000"/>
                    </w:rPr>
                    <w:t>5.输入分辨率支持704×576、704×480、960×576、960×480、1024×768、1280×720、1280×1024、1280×800、1280×960、1366×768、1440×900、1400×1050、1680×1050、1920×1080、1600×1200、1920×1200</w:t>
                  </w:r>
                  <w:r>
                    <w:br/>
                  </w:r>
                  <w:r>
                    <w:rPr>
                      <w:rFonts w:ascii="仿宋_GB2312" w:hAnsi="仿宋_GB2312" w:cs="仿宋_GB2312" w:eastAsia="仿宋_GB2312"/>
                      <w:sz w:val="24"/>
                      <w:color w:val="000000"/>
                    </w:rPr>
                    <w:t>★6.可设置视频码率为128Kbps~16384Kbps</w:t>
                  </w:r>
                  <w:r>
                    <w:br/>
                  </w:r>
                  <w:r>
                    <w:rPr>
                      <w:rFonts w:ascii="仿宋_GB2312" w:hAnsi="仿宋_GB2312" w:cs="仿宋_GB2312" w:eastAsia="仿宋_GB2312"/>
                      <w:sz w:val="24"/>
                      <w:color w:val="000000"/>
                    </w:rPr>
                    <w:t>★7.支持视频图像的水平、垂直手动调校及自动微调</w:t>
                  </w:r>
                  <w:r>
                    <w:br/>
                  </w:r>
                  <w:r>
                    <w:rPr>
                      <w:rFonts w:ascii="仿宋_GB2312" w:hAnsi="仿宋_GB2312" w:cs="仿宋_GB2312" w:eastAsia="仿宋_GB2312"/>
                      <w:sz w:val="24"/>
                      <w:color w:val="000000"/>
                    </w:rPr>
                    <w:t>8.可对单个视频输入通道进行分辨率、帧率、码率、亮度、对比度、饱和度、色调、去噪等参数设置，图像显示模式可设定标准、室内、室外、弱光等显示模式进行设置</w:t>
                  </w:r>
                  <w:r>
                    <w:br/>
                  </w:r>
                  <w:r>
                    <w:rPr>
                      <w:rFonts w:ascii="仿宋_GB2312" w:hAnsi="仿宋_GB2312" w:cs="仿宋_GB2312" w:eastAsia="仿宋_GB2312"/>
                      <w:sz w:val="24"/>
                      <w:color w:val="000000"/>
                    </w:rPr>
                    <w:t>★9.可对接入的云台进行8个方向旋转、自动扫描、控制光圈、变焦、速度调节、置点、花样扫描、巡航等控制操作</w:t>
                  </w:r>
                  <w:r>
                    <w:br/>
                  </w:r>
                  <w:r>
                    <w:rPr>
                      <w:rFonts w:ascii="仿宋_GB2312" w:hAnsi="仿宋_GB2312" w:cs="仿宋_GB2312" w:eastAsia="仿宋_GB2312"/>
                      <w:sz w:val="24"/>
                      <w:color w:val="000000"/>
                    </w:rPr>
                    <w:t>10.解码板输出支持H.265、H.264、MJPEG格式</w:t>
                  </w:r>
                  <w:r>
                    <w:br/>
                  </w:r>
                  <w:r>
                    <w:rPr>
                      <w:rFonts w:ascii="仿宋_GB2312" w:hAnsi="仿宋_GB2312" w:cs="仿宋_GB2312" w:eastAsia="仿宋_GB2312"/>
                      <w:sz w:val="24"/>
                      <w:color w:val="000000"/>
                    </w:rPr>
                    <w:t>11.支持叠加显示窗口，窗口透明度可设置；显示窗口上的字符信息可编辑，字符颜色、背景色、移动方向及文字字体大小可设置</w:t>
                  </w:r>
                  <w:r>
                    <w:br/>
                  </w:r>
                  <w:r>
                    <w:rPr>
                      <w:rFonts w:ascii="仿宋_GB2312" w:hAnsi="仿宋_GB2312" w:cs="仿宋_GB2312" w:eastAsia="仿宋_GB2312"/>
                      <w:sz w:val="24"/>
                      <w:color w:val="000000"/>
                    </w:rPr>
                    <w:t>12.可通过多个视频输出组合显示任意指定的视频输入图像，支持矩阵内任意输出板卡之间的拼接或跨矩阵任意输出口拼接。</w:t>
                  </w:r>
                  <w:r>
                    <w:br/>
                  </w:r>
                  <w:r>
                    <w:rPr>
                      <w:rFonts w:ascii="仿宋_GB2312" w:hAnsi="仿宋_GB2312" w:cs="仿宋_GB2312" w:eastAsia="仿宋_GB2312"/>
                      <w:sz w:val="24"/>
                      <w:color w:val="000000"/>
                    </w:rPr>
                    <w:t>13.可将样机的视频输出状态保存为场景，可设置多个场景，并可对每个场景进行配置、清空、复制、修改、切换等操作，可实现多个场景轮巡切换，预案场景数量不小于128个切换中间无延时，切换过程中无黑屏、花屏、蓝屏</w:t>
                  </w:r>
                  <w:r>
                    <w:br/>
                  </w:r>
                  <w:r>
                    <w:rPr>
                      <w:rFonts w:ascii="仿宋_GB2312" w:hAnsi="仿宋_GB2312" w:cs="仿宋_GB2312" w:eastAsia="仿宋_GB2312"/>
                      <w:sz w:val="24"/>
                      <w:color w:val="000000"/>
                    </w:rPr>
                    <w:t>★14.显控系统设备间支持信息交互功能，可通过平台/客户端界面查看屏幕运维信息，包括使用时长、序列号、温度、亮度、显示模式日支持下发配置屏幕参数</w:t>
                  </w:r>
                  <w:r>
                    <w:br/>
                  </w:r>
                  <w:r>
                    <w:rPr>
                      <w:rFonts w:ascii="仿宋_GB2312" w:hAnsi="仿宋_GB2312" w:cs="仿宋_GB2312" w:eastAsia="仿宋_GB2312"/>
                      <w:sz w:val="24"/>
                      <w:color w:val="000000"/>
                    </w:rPr>
                    <w:t>★15.显控系统支持通过自动识别屏幕的行列号信息，并能根据行列号信息，自动生成对应的电视墙规模和绑定输出口关系，避免手动一对一设置输出口和LCD屏幕的对应关系</w:t>
                  </w:r>
                  <w:r>
                    <w:br/>
                  </w:r>
                  <w:r>
                    <w:rPr>
                      <w:rFonts w:ascii="仿宋_GB2312" w:hAnsi="仿宋_GB2312" w:cs="仿宋_GB2312" w:eastAsia="仿宋_GB2312"/>
                      <w:sz w:val="24"/>
                      <w:color w:val="000000"/>
                    </w:rPr>
                    <w:t>显控系统支持自动检测输入源的信号类型，根据信号源类型和显示位置，自动配置信号源所在屏幕的显示场景模式</w:t>
                  </w:r>
                  <w:r>
                    <w:rPr>
                      <w:rFonts w:ascii="仿宋_GB2312" w:hAnsi="仿宋_GB2312" w:cs="仿宋_GB2312" w:eastAsia="仿宋_GB2312"/>
                      <w:sz w:val="24"/>
                      <w:color w:val="000000"/>
                    </w:rPr>
                    <w:t>(提供封面具有CNAS认证标识的公安部报告证明。)</w:t>
                  </w:r>
                  <w:r>
                    <w:br/>
                  </w:r>
                  <w:r>
                    <w:rPr>
                      <w:rFonts w:ascii="仿宋_GB2312" w:hAnsi="仿宋_GB2312" w:cs="仿宋_GB2312" w:eastAsia="仿宋_GB2312"/>
                      <w:sz w:val="24"/>
                      <w:color w:val="000000"/>
                    </w:rPr>
                    <w:t>显控系统支持远程开关机控制，实现拼接墙整墙的开关机，定时开关机操作</w:t>
                  </w:r>
                  <w:r>
                    <w:br/>
                  </w:r>
                  <w:r>
                    <w:rPr>
                      <w:rFonts w:ascii="仿宋_GB2312" w:hAnsi="仿宋_GB2312" w:cs="仿宋_GB2312" w:eastAsia="仿宋_GB2312"/>
                      <w:sz w:val="24"/>
                      <w:color w:val="000000"/>
                    </w:rPr>
                    <w:t>标</w:t>
                  </w:r>
                  <w:r>
                    <w:rPr>
                      <w:rFonts w:ascii="仿宋_GB2312" w:hAnsi="仿宋_GB2312" w:cs="仿宋_GB2312" w:eastAsia="仿宋_GB2312"/>
                      <w:sz w:val="24"/>
                      <w:color w:val="000000"/>
                    </w:rPr>
                    <w:t>★号项参数需提供第三方检验报告复印件，针对本项目的厂家授权及售后服务承诺含加盖原厂商鲜章。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LCD显示单元</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1.LCD显示单元为：46“超窄边液晶屏；单元物理拼缝≤3.5mm，物理分辨率≥1920×1080，对比度1000：1。</w:t>
                  </w:r>
                  <w:r>
                    <w:br/>
                  </w:r>
                  <w:r>
                    <w:rPr>
                      <w:rFonts w:ascii="仿宋_GB2312" w:hAnsi="仿宋_GB2312" w:cs="仿宋_GB2312" w:eastAsia="仿宋_GB2312"/>
                      <w:sz w:val="24"/>
                      <w:color w:val="000000"/>
                    </w:rPr>
                    <w:t>2.LCD显示单元响应时间≤10ms，显示色彩达到16.7M，亮度≥500cd/㎡，图像显示清晰度达到1000TVL。</w:t>
                  </w:r>
                  <w:r>
                    <w:br/>
                  </w:r>
                  <w:r>
                    <w:rPr>
                      <w:rFonts w:ascii="仿宋_GB2312" w:hAnsi="仿宋_GB2312" w:cs="仿宋_GB2312" w:eastAsia="仿宋_GB2312"/>
                      <w:sz w:val="24"/>
                      <w:color w:val="000000"/>
                    </w:rPr>
                    <w:t>3.LCD产品具备CCC、CQC节能认证证书、CEC环境I型证书</w:t>
                  </w:r>
                  <w:r>
                    <w:br/>
                  </w:r>
                  <w:r>
                    <w:rPr>
                      <w:rFonts w:ascii="仿宋_GB2312" w:hAnsi="仿宋_GB2312" w:cs="仿宋_GB2312" w:eastAsia="仿宋_GB2312"/>
                      <w:sz w:val="24"/>
                      <w:color w:val="000000"/>
                    </w:rPr>
                    <w:t>4.内置MPEG、JPEG和 Real media解码器，支持点播U盘、移动硬盘中的视频、图片、音频或文本资源。</w:t>
                  </w:r>
                  <w:r>
                    <w:br/>
                  </w:r>
                  <w:r>
                    <w:rPr>
                      <w:rFonts w:ascii="仿宋_GB2312" w:hAnsi="仿宋_GB2312" w:cs="仿宋_GB2312" w:eastAsia="仿宋_GB2312"/>
                      <w:sz w:val="24"/>
                      <w:color w:val="000000"/>
                    </w:rPr>
                    <w:t>★5.屏幕支持防灼烧功能，能够有效改善液晶长时间显示静态画面时造成的残影现象。</w:t>
                  </w:r>
                  <w:r>
                    <w:br/>
                  </w:r>
                  <w:r>
                    <w:rPr>
                      <w:rFonts w:ascii="仿宋_GB2312" w:hAnsi="仿宋_GB2312" w:cs="仿宋_GB2312" w:eastAsia="仿宋_GB2312"/>
                      <w:sz w:val="24"/>
                      <w:color w:val="000000"/>
                    </w:rPr>
                    <w:t>6.拼接屏具备智能温控功能，当屏幕温度在55-60℃之间时，会提醒用户温度过高，请及时通风；当温度超过60℃，屏幕会立即进入休眠状态；等温度降至50℃以下会被唤醒或者通过遥控器主动唤醒。</w:t>
                  </w:r>
                  <w:r>
                    <w:br/>
                  </w:r>
                  <w:r>
                    <w:rPr>
                      <w:rFonts w:ascii="仿宋_GB2312" w:hAnsi="仿宋_GB2312" w:cs="仿宋_GB2312" w:eastAsia="仿宋_GB2312"/>
                      <w:sz w:val="24"/>
                      <w:color w:val="000000"/>
                    </w:rPr>
                    <w:t>7.支持4比3、16比9、点对点等比例显示。</w:t>
                  </w:r>
                  <w:r>
                    <w:br/>
                  </w:r>
                  <w:r>
                    <w:rPr>
                      <w:rFonts w:ascii="仿宋_GB2312" w:hAnsi="仿宋_GB2312" w:cs="仿宋_GB2312" w:eastAsia="仿宋_GB2312"/>
                      <w:sz w:val="24"/>
                      <w:color w:val="000000"/>
                    </w:rPr>
                    <w:t>8.内置智能系统，可快速读取显示屏信息，包括屏幕背光源、亮度、对比度、分辨率等基本信息。</w:t>
                  </w:r>
                  <w:r>
                    <w:br/>
                  </w:r>
                  <w:r>
                    <w:rPr>
                      <w:rFonts w:ascii="仿宋_GB2312" w:hAnsi="仿宋_GB2312" w:cs="仿宋_GB2312" w:eastAsia="仿宋_GB2312"/>
                      <w:sz w:val="24"/>
                      <w:color w:val="000000"/>
                    </w:rPr>
                    <w:t>9.支持通过客户端和软件控制屏幕，不需要遥控器的接入，实现遥控器的所有功能。</w:t>
                  </w:r>
                  <w:r>
                    <w:br/>
                  </w:r>
                  <w:r>
                    <w:rPr>
                      <w:rFonts w:ascii="仿宋_GB2312" w:hAnsi="仿宋_GB2312" w:cs="仿宋_GB2312" w:eastAsia="仿宋_GB2312"/>
                      <w:sz w:val="24"/>
                      <w:color w:val="000000"/>
                    </w:rPr>
                    <w:t>10.可通过客户端或菜单设置屏幕ID，ID属性包含行、列，实现自动分配ID。</w:t>
                  </w:r>
                  <w:r>
                    <w:br/>
                  </w:r>
                  <w:r>
                    <w:rPr>
                      <w:rFonts w:ascii="仿宋_GB2312" w:hAnsi="仿宋_GB2312" w:cs="仿宋_GB2312" w:eastAsia="仿宋_GB2312"/>
                      <w:sz w:val="24"/>
                      <w:color w:val="000000"/>
                    </w:rPr>
                    <w:t>11.设备支持不断电待机功能，当无任何信号输入时，设备在规定时间内自动待机节能，当有信号接入时，设备能快速开机，正常显示。待机功耗低于0.5W</w:t>
                  </w:r>
                  <w:r>
                    <w:br/>
                  </w:r>
                  <w:r>
                    <w:rPr>
                      <w:rFonts w:ascii="仿宋_GB2312" w:hAnsi="仿宋_GB2312" w:cs="仿宋_GB2312" w:eastAsia="仿宋_GB2312"/>
                      <w:sz w:val="24"/>
                      <w:color w:val="000000"/>
                    </w:rPr>
                    <w:t>标</w:t>
                  </w:r>
                  <w:r>
                    <w:rPr>
                      <w:rFonts w:ascii="仿宋_GB2312" w:hAnsi="仿宋_GB2312" w:cs="仿宋_GB2312" w:eastAsia="仿宋_GB2312"/>
                      <w:sz w:val="24"/>
                      <w:color w:val="000000"/>
                    </w:rPr>
                    <w:t>★号项参数需提供第三方检验报告复印件，针对本项目的厂家授权及售后服务承诺含加盖原厂商鲜章。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大屏支架</w:t>
                  </w:r>
                  <w:r>
                    <w:rPr>
                      <w:rFonts w:ascii="仿宋_GB2312" w:hAnsi="仿宋_GB2312" w:cs="仿宋_GB2312" w:eastAsia="仿宋_GB2312"/>
                      <w:sz w:val="24"/>
                      <w:color w:val="000000"/>
                    </w:rPr>
                    <w:t>(LCD基线)</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★前开门/前封板，后留空； </w:t>
                  </w:r>
                  <w:r>
                    <w:br/>
                  </w:r>
                  <w:r>
                    <w:rPr>
                      <w:rFonts w:ascii="仿宋_GB2312" w:hAnsi="仿宋_GB2312" w:cs="仿宋_GB2312" w:eastAsia="仿宋_GB2312"/>
                      <w:sz w:val="24"/>
                      <w:color w:val="000000"/>
                    </w:rPr>
                    <w:t>材质：优质冷轧钢板</w:t>
                  </w:r>
                  <w:r>
                    <w:rPr>
                      <w:rFonts w:ascii="仿宋_GB2312" w:hAnsi="仿宋_GB2312" w:cs="仿宋_GB2312" w:eastAsia="仿宋_GB2312"/>
                      <w:sz w:val="24"/>
                      <w:color w:val="000000"/>
                    </w:rPr>
                    <w:t>(SPCC)，材料厚度从T1.0~T5不等</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大屏支架</w:t>
                  </w:r>
                  <w:r>
                    <w:rPr>
                      <w:rFonts w:ascii="仿宋_GB2312" w:hAnsi="仿宋_GB2312" w:cs="仿宋_GB2312" w:eastAsia="仿宋_GB2312"/>
                      <w:sz w:val="24"/>
                      <w:color w:val="000000"/>
                    </w:rPr>
                    <w:t>(LCD基线)</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★前开门/前封板，后留空； </w:t>
                  </w:r>
                  <w:r>
                    <w:br/>
                  </w:r>
                  <w:r>
                    <w:rPr>
                      <w:rFonts w:ascii="仿宋_GB2312" w:hAnsi="仿宋_GB2312" w:cs="仿宋_GB2312" w:eastAsia="仿宋_GB2312"/>
                      <w:sz w:val="24"/>
                      <w:color w:val="000000"/>
                    </w:rPr>
                    <w:t>材质：优质冷轧钢板</w:t>
                  </w:r>
                  <w:r>
                    <w:rPr>
                      <w:rFonts w:ascii="仿宋_GB2312" w:hAnsi="仿宋_GB2312" w:cs="仿宋_GB2312" w:eastAsia="仿宋_GB2312"/>
                      <w:sz w:val="24"/>
                      <w:color w:val="000000"/>
                    </w:rPr>
                    <w:t>(SPCC)，材料厚度从T1.0~T5不等</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服务器</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★CPU：配置≥1颗 不低于C86架构处理器，核数≥16核，主频≥2.5GHz</w:t>
                  </w:r>
                  <w:r>
                    <w:br/>
                  </w:r>
                  <w:r>
                    <w:rPr>
                      <w:rFonts w:ascii="仿宋_GB2312" w:hAnsi="仿宋_GB2312" w:cs="仿宋_GB2312" w:eastAsia="仿宋_GB2312"/>
                      <w:sz w:val="24"/>
                      <w:color w:val="000000"/>
                    </w:rPr>
                    <w:t>内存：配置</w:t>
                  </w:r>
                  <w:r>
                    <w:rPr>
                      <w:rFonts w:ascii="仿宋_GB2312" w:hAnsi="仿宋_GB2312" w:cs="仿宋_GB2312" w:eastAsia="仿宋_GB2312"/>
                      <w:sz w:val="24"/>
                      <w:color w:val="000000"/>
                    </w:rPr>
                    <w:t>≥64G DDR4，≥16根内存插槽，最大支持扩展至1TB内存</w:t>
                  </w:r>
                  <w:r>
                    <w:br/>
                  </w:r>
                  <w:r>
                    <w:rPr>
                      <w:rFonts w:ascii="仿宋_GB2312" w:hAnsi="仿宋_GB2312" w:cs="仿宋_GB2312" w:eastAsia="仿宋_GB2312"/>
                      <w:sz w:val="24"/>
                      <w:color w:val="000000"/>
                    </w:rPr>
                    <w:t>硬盘：配置</w:t>
                  </w:r>
                  <w:r>
                    <w:rPr>
                      <w:rFonts w:ascii="仿宋_GB2312" w:hAnsi="仿宋_GB2312" w:cs="仿宋_GB2312" w:eastAsia="仿宋_GB2312"/>
                      <w:sz w:val="24"/>
                      <w:color w:val="000000"/>
                    </w:rPr>
                    <w:t>≥1块600G 10K SAS硬盘；</w:t>
                  </w:r>
                  <w:r>
                    <w:br/>
                  </w:r>
                  <w:r>
                    <w:rPr>
                      <w:rFonts w:ascii="仿宋_GB2312" w:hAnsi="仿宋_GB2312" w:cs="仿宋_GB2312" w:eastAsia="仿宋_GB2312"/>
                      <w:sz w:val="24"/>
                      <w:color w:val="000000"/>
                    </w:rPr>
                    <w:t>阵列卡：配置</w:t>
                  </w:r>
                  <w:r>
                    <w:rPr>
                      <w:rFonts w:ascii="仿宋_GB2312" w:hAnsi="仿宋_GB2312" w:cs="仿宋_GB2312" w:eastAsia="仿宋_GB2312"/>
                      <w:sz w:val="24"/>
                      <w:color w:val="000000"/>
                    </w:rPr>
                    <w:t>SAS+HBA卡（支持RAID 0/1/10） ;</w:t>
                  </w:r>
                  <w:r>
                    <w:br/>
                  </w:r>
                  <w:r>
                    <w:rPr>
                      <w:rFonts w:ascii="仿宋_GB2312" w:hAnsi="仿宋_GB2312" w:cs="仿宋_GB2312" w:eastAsia="仿宋_GB2312"/>
                      <w:sz w:val="24"/>
                      <w:color w:val="000000"/>
                    </w:rPr>
                    <w:t>PCIE扩展：最大可选支持6个PCIe扩展插槽；</w:t>
                  </w:r>
                  <w:r>
                    <w:br/>
                  </w:r>
                  <w:r>
                    <w:rPr>
                      <w:rFonts w:ascii="仿宋_GB2312" w:hAnsi="仿宋_GB2312" w:cs="仿宋_GB2312" w:eastAsia="仿宋_GB2312"/>
                      <w:sz w:val="24"/>
                      <w:color w:val="000000"/>
                    </w:rPr>
                    <w:t>网口：板载</w:t>
                  </w:r>
                  <w:r>
                    <w:rPr>
                      <w:rFonts w:ascii="仿宋_GB2312" w:hAnsi="仿宋_GB2312" w:cs="仿宋_GB2312" w:eastAsia="仿宋_GB2312"/>
                      <w:sz w:val="24"/>
                      <w:color w:val="000000"/>
                    </w:rPr>
                    <w:t>≥2个千兆电口，支持选配10GbE、25GbE SFP+等多种网络接口；</w:t>
                  </w:r>
                  <w:r>
                    <w:br/>
                  </w:r>
                  <w:r>
                    <w:rPr>
                      <w:rFonts w:ascii="仿宋_GB2312" w:hAnsi="仿宋_GB2312" w:cs="仿宋_GB2312" w:eastAsia="仿宋_GB2312"/>
                      <w:sz w:val="24"/>
                      <w:color w:val="000000"/>
                    </w:rPr>
                    <w:t>其他接口：配置</w:t>
                  </w:r>
                  <w:r>
                    <w:rPr>
                      <w:rFonts w:ascii="仿宋_GB2312" w:hAnsi="仿宋_GB2312" w:cs="仿宋_GB2312" w:eastAsia="仿宋_GB2312"/>
                      <w:sz w:val="24"/>
                      <w:color w:val="000000"/>
                    </w:rPr>
                    <w:t>≥1个千兆RJ-45管理接口，≥2个USB 3.0接口；≥1个VGA口，位于机箱后部；可选1个COM口位于机箱后部；</w:t>
                  </w:r>
                  <w:r>
                    <w:br/>
                  </w:r>
                  <w:r>
                    <w:rPr>
                      <w:rFonts w:ascii="仿宋_GB2312" w:hAnsi="仿宋_GB2312" w:cs="仿宋_GB2312" w:eastAsia="仿宋_GB2312"/>
                      <w:sz w:val="24"/>
                      <w:color w:val="000000"/>
                    </w:rPr>
                    <w:t>电源：配置</w:t>
                  </w:r>
                  <w:r>
                    <w:rPr>
                      <w:rFonts w:ascii="仿宋_GB2312" w:hAnsi="仿宋_GB2312" w:cs="仿宋_GB2312" w:eastAsia="仿宋_GB2312"/>
                      <w:sz w:val="24"/>
                      <w:color w:val="000000"/>
                    </w:rPr>
                    <w:t>550W（1+1）高效铂金CRPS冗余电源</w:t>
                  </w:r>
                  <w:r>
                    <w:br/>
                  </w:r>
                  <w:r>
                    <w:rPr>
                      <w:rFonts w:ascii="仿宋_GB2312" w:hAnsi="仿宋_GB2312" w:cs="仿宋_GB2312" w:eastAsia="仿宋_GB2312"/>
                      <w:sz w:val="24"/>
                      <w:color w:val="000000"/>
                    </w:rPr>
                    <w:t>标</w:t>
                  </w:r>
                  <w:r>
                    <w:rPr>
                      <w:rFonts w:ascii="仿宋_GB2312" w:hAnsi="仿宋_GB2312" w:cs="仿宋_GB2312" w:eastAsia="仿宋_GB2312"/>
                      <w:sz w:val="24"/>
                      <w:color w:val="000000"/>
                    </w:rPr>
                    <w:t>★号项参数需提供公安部检验报告复印件，针对本项目的厂家授权及售后服务承诺含加盖原厂商鲜章。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软件平台</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★1.要求支持小区场景、通用场景化应用配置</w:t>
                  </w:r>
                  <w:r>
                    <w:br/>
                  </w:r>
                  <w:r>
                    <w:rPr>
                      <w:rFonts w:ascii="仿宋_GB2312" w:hAnsi="仿宋_GB2312" w:cs="仿宋_GB2312" w:eastAsia="仿宋_GB2312"/>
                      <w:sz w:val="24"/>
                      <w:color w:val="000000"/>
                    </w:rPr>
                    <w:t>支持对用户、角色、组织、区域、人员、车辆、卡片、设备等基础资源进行管理调配</w:t>
                  </w:r>
                  <w:r>
                    <w:br/>
                  </w:r>
                  <w:r>
                    <w:rPr>
                      <w:rFonts w:ascii="仿宋_GB2312" w:hAnsi="仿宋_GB2312" w:cs="仿宋_GB2312" w:eastAsia="仿宋_GB2312"/>
                      <w:sz w:val="24"/>
                      <w:color w:val="000000"/>
                    </w:rPr>
                    <w:t>2.最大支持 200000 个用户管理，最大支持 500 个用户并发登录请求以及 5000 个用户同时在线</w:t>
                  </w:r>
                  <w:r>
                    <w:br/>
                  </w:r>
                  <w:r>
                    <w:rPr>
                      <w:rFonts w:ascii="仿宋_GB2312" w:hAnsi="仿宋_GB2312" w:cs="仿宋_GB2312" w:eastAsia="仿宋_GB2312"/>
                      <w:sz w:val="24"/>
                      <w:color w:val="000000"/>
                    </w:rPr>
                    <w:t>3.支持用户权限管理</w:t>
                  </w:r>
                  <w:r>
                    <w:br/>
                  </w:r>
                  <w:r>
                    <w:rPr>
                      <w:rFonts w:ascii="仿宋_GB2312" w:hAnsi="仿宋_GB2312" w:cs="仿宋_GB2312" w:eastAsia="仿宋_GB2312"/>
                      <w:sz w:val="24"/>
                      <w:color w:val="000000"/>
                    </w:rPr>
                    <w:t>4.支持用户密码有效时间段进行设置管理，支持用户I绑定，指定 IP 地址用户才能登陆平台</w:t>
                  </w:r>
                  <w:r>
                    <w:br/>
                  </w:r>
                  <w:r>
                    <w:rPr>
                      <w:rFonts w:ascii="仿宋_GB2312" w:hAnsi="仿宋_GB2312" w:cs="仿宋_GB2312" w:eastAsia="仿宋_GB2312"/>
                      <w:sz w:val="24"/>
                      <w:color w:val="000000"/>
                    </w:rPr>
                    <w:t>最大支持管理</w:t>
                  </w:r>
                  <w:r>
                    <w:rPr>
                      <w:rFonts w:ascii="仿宋_GB2312" w:hAnsi="仿宋_GB2312" w:cs="仿宋_GB2312" w:eastAsia="仿宋_GB2312"/>
                      <w:sz w:val="24"/>
                      <w:color w:val="000000"/>
                    </w:rPr>
                    <w:t>1000000 个人员，每个人员可涉及人脸、指纹</w:t>
                  </w:r>
                  <w:r>
                    <w:br/>
                  </w:r>
                  <w:r>
                    <w:rPr>
                      <w:rFonts w:ascii="仿宋_GB2312" w:hAnsi="仿宋_GB2312" w:cs="仿宋_GB2312" w:eastAsia="仿宋_GB2312"/>
                      <w:sz w:val="24"/>
                      <w:color w:val="000000"/>
                    </w:rPr>
                    <w:t>★5.支持ipv6网络适配，支持ipv6网络环境下平台部署，并支持用户以此方式进入平台进行访问以及业务应用，支持通过ipv6方式添加视频设备，停车场出入口，门禁设备。</w:t>
                  </w:r>
                  <w:r>
                    <w:br/>
                  </w:r>
                  <w:r>
                    <w:rPr>
                      <w:rFonts w:ascii="仿宋_GB2312" w:hAnsi="仿宋_GB2312" w:cs="仿宋_GB2312" w:eastAsia="仿宋_GB2312"/>
                      <w:sz w:val="24"/>
                      <w:color w:val="000000"/>
                    </w:rPr>
                    <w:t>★6.支持系统部署在欧拉操作系统、银河麒麟系统中</w:t>
                  </w:r>
                  <w:r>
                    <w:br/>
                  </w:r>
                  <w:r>
                    <w:rPr>
                      <w:rFonts w:ascii="仿宋_GB2312" w:hAnsi="仿宋_GB2312" w:cs="仿宋_GB2312" w:eastAsia="仿宋_GB2312"/>
                      <w:sz w:val="24"/>
                      <w:color w:val="000000"/>
                    </w:rPr>
                    <w:t>标</w:t>
                  </w:r>
                  <w:r>
                    <w:rPr>
                      <w:rFonts w:ascii="仿宋_GB2312" w:hAnsi="仿宋_GB2312" w:cs="仿宋_GB2312" w:eastAsia="仿宋_GB2312"/>
                      <w:sz w:val="24"/>
                      <w:color w:val="000000"/>
                    </w:rPr>
                    <w:t>★号项参数需提供第三方检验报告复印件，针对本项目的厂家授权及售后服务承诺含加盖原厂商鲜章。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62"/>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★1.要求监控点最多管理容量≥1000000路</w:t>
                  </w:r>
                  <w:r>
                    <w:br/>
                  </w:r>
                  <w:r>
                    <w:rPr>
                      <w:rFonts w:ascii="仿宋_GB2312" w:hAnsi="仿宋_GB2312" w:cs="仿宋_GB2312" w:eastAsia="仿宋_GB2312"/>
                      <w:sz w:val="24"/>
                      <w:color w:val="000000"/>
                    </w:rPr>
                    <w:t>要求系统支持国标协议上下级平台级联，支持流媒体集群配置</w:t>
                  </w:r>
                  <w:r>
                    <w:br/>
                  </w:r>
                  <w:r>
                    <w:rPr>
                      <w:rFonts w:ascii="仿宋_GB2312" w:hAnsi="仿宋_GB2312" w:cs="仿宋_GB2312" w:eastAsia="仿宋_GB2312"/>
                      <w:sz w:val="24"/>
                      <w:color w:val="000000"/>
                    </w:rPr>
                    <w:t>要求支持接入</w:t>
                  </w:r>
                  <w:r>
                    <w:rPr>
                      <w:rFonts w:ascii="仿宋_GB2312" w:hAnsi="仿宋_GB2312" w:cs="仿宋_GB2312" w:eastAsia="仿宋_GB2312"/>
                      <w:sz w:val="24"/>
                      <w:color w:val="000000"/>
                    </w:rPr>
                    <w:t>0NVIF、GB/T28181 等协议的设备</w:t>
                  </w:r>
                  <w:r>
                    <w:br/>
                  </w:r>
                  <w:r>
                    <w:rPr>
                      <w:rFonts w:ascii="仿宋_GB2312" w:hAnsi="仿宋_GB2312" w:cs="仿宋_GB2312" w:eastAsia="仿宋_GB2312"/>
                      <w:sz w:val="24"/>
                      <w:color w:val="000000"/>
                    </w:rPr>
                    <w:t>要求支持监控点的批量迁移</w:t>
                  </w:r>
                  <w:r>
                    <w:br/>
                  </w:r>
                  <w:r>
                    <w:rPr>
                      <w:rFonts w:ascii="仿宋_GB2312" w:hAnsi="仿宋_GB2312" w:cs="仿宋_GB2312" w:eastAsia="仿宋_GB2312"/>
                      <w:sz w:val="24"/>
                      <w:color w:val="000000"/>
                    </w:rPr>
                    <w:t>要求支持热成像相机接入，预览回放、热成像温度、烟火识别报警联动等功能</w:t>
                  </w:r>
                  <w:r>
                    <w:br/>
                  </w:r>
                  <w:r>
                    <w:rPr>
                      <w:rFonts w:ascii="仿宋_GB2312" w:hAnsi="仿宋_GB2312" w:cs="仿宋_GB2312" w:eastAsia="仿宋_GB2312"/>
                      <w:sz w:val="24"/>
                      <w:color w:val="000000"/>
                    </w:rPr>
                    <w:t>要求支持</w:t>
                  </w:r>
                  <w:r>
                    <w:rPr>
                      <w:rFonts w:ascii="仿宋_GB2312" w:hAnsi="仿宋_GB2312" w:cs="仿宋_GB2312" w:eastAsia="仿宋_GB2312"/>
                      <w:sz w:val="24"/>
                      <w:color w:val="000000"/>
                    </w:rPr>
                    <w:t>BS 客户端、CS 客户端、移动客户端(Android、i0s)视频预览，支持多浏览器实时预览</w:t>
                  </w:r>
                  <w:r>
                    <w:br/>
                  </w:r>
                  <w:r>
                    <w:rPr>
                      <w:rFonts w:ascii="仿宋_GB2312" w:hAnsi="仿宋_GB2312" w:cs="仿宋_GB2312" w:eastAsia="仿宋_GB2312"/>
                      <w:sz w:val="24"/>
                      <w:color w:val="000000"/>
                    </w:rPr>
                    <w:t>下要求支持对当前预览的窗格和监控点画面进行视图保存，用于后续预览该视图</w:t>
                  </w:r>
                  <w:r>
                    <w:br/>
                  </w:r>
                  <w:r>
                    <w:rPr>
                      <w:rFonts w:ascii="仿宋_GB2312" w:hAnsi="仿宋_GB2312" w:cs="仿宋_GB2312" w:eastAsia="仿宋_GB2312"/>
                      <w:sz w:val="24"/>
                      <w:color w:val="000000"/>
                    </w:rPr>
                    <w:t>要求支持图片实时监控及历史查询</w:t>
                  </w:r>
                  <w:r>
                    <w:br/>
                  </w:r>
                  <w:r>
                    <w:rPr>
                      <w:rFonts w:ascii="仿宋_GB2312" w:hAnsi="仿宋_GB2312" w:cs="仿宋_GB2312" w:eastAsia="仿宋_GB2312"/>
                      <w:sz w:val="24"/>
                      <w:color w:val="000000"/>
                    </w:rPr>
                    <w:t>要求支持显示鱼眼图像或矫正后图像</w:t>
                  </w:r>
                  <w:r>
                    <w:br/>
                  </w:r>
                  <w:r>
                    <w:rPr>
                      <w:rFonts w:ascii="仿宋_GB2312" w:hAnsi="仿宋_GB2312" w:cs="仿宋_GB2312" w:eastAsia="仿宋_GB2312"/>
                      <w:sz w:val="24"/>
                      <w:color w:val="000000"/>
                    </w:rPr>
                    <w:t>要求支持客户端预览记忆功能，包括当前预览的监控点和当前分屏状态标</w:t>
                  </w:r>
                  <w:r>
                    <w:rPr>
                      <w:rFonts w:ascii="仿宋_GB2312" w:hAnsi="仿宋_GB2312" w:cs="仿宋_GB2312" w:eastAsia="仿宋_GB2312"/>
                      <w:sz w:val="24"/>
                      <w:color w:val="000000"/>
                    </w:rPr>
                    <w:t>★号项参数需提供公安部检验报告复印件，针对本项目的厂家授权及售后服务承诺含加盖原厂商鲜章。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控制终端</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★联想thinkstationk  CPU i7-12700  内存32g  固态512SSD/4T机械  显卡3060 /12g  电源500w   显示器32寸</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服务器机柜</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★42U，前玻璃门后，网孔门，落地机柜</w:t>
                  </w:r>
                  <w:r>
                    <w:br/>
                  </w:r>
                  <w:r>
                    <w:rPr>
                      <w:rFonts w:ascii="仿宋_GB2312" w:hAnsi="仿宋_GB2312" w:cs="仿宋_GB2312" w:eastAsia="仿宋_GB2312"/>
                      <w:sz w:val="24"/>
                      <w:color w:val="000000"/>
                    </w:rPr>
                    <w:t>承重：静态</w:t>
                  </w:r>
                  <w:r>
                    <w:rPr>
                      <w:rFonts w:ascii="仿宋_GB2312" w:hAnsi="仿宋_GB2312" w:cs="仿宋_GB2312" w:eastAsia="仿宋_GB2312"/>
                      <w:sz w:val="24"/>
                      <w:color w:val="000000"/>
                    </w:rPr>
                    <w:t>≥1000KG</w:t>
                  </w:r>
                  <w:r>
                    <w:br/>
                  </w:r>
                  <w:r>
                    <w:rPr>
                      <w:rFonts w:ascii="仿宋_GB2312" w:hAnsi="仿宋_GB2312" w:cs="仿宋_GB2312" w:eastAsia="仿宋_GB2312"/>
                      <w:sz w:val="24"/>
                      <w:color w:val="000000"/>
                    </w:rPr>
                    <w:t>前后门材质：前单开网孔门，后双开网孔门，冷轧板</w:t>
                  </w:r>
                  <w:r>
                    <w:rPr>
                      <w:rFonts w:ascii="仿宋_GB2312" w:hAnsi="仿宋_GB2312" w:cs="仿宋_GB2312" w:eastAsia="仿宋_GB2312"/>
                      <w:sz w:val="24"/>
                      <w:color w:val="000000"/>
                    </w:rPr>
                    <w:t>T=1.2</w:t>
                  </w:r>
                  <w:r>
                    <w:br/>
                  </w:r>
                  <w:r>
                    <w:rPr>
                      <w:rFonts w:ascii="仿宋_GB2312" w:hAnsi="仿宋_GB2312" w:cs="仿宋_GB2312" w:eastAsia="仿宋_GB2312"/>
                      <w:sz w:val="24"/>
                      <w:color w:val="000000"/>
                    </w:rPr>
                    <w:t>门敞开百分比：前门</w:t>
                  </w:r>
                  <w:r>
                    <w:rPr>
                      <w:rFonts w:ascii="仿宋_GB2312" w:hAnsi="仿宋_GB2312" w:cs="仿宋_GB2312" w:eastAsia="仿宋_GB2312"/>
                      <w:sz w:val="24"/>
                      <w:color w:val="000000"/>
                    </w:rPr>
                    <w:t>78%，后门77.2%</w:t>
                  </w:r>
                  <w:r>
                    <w:br/>
                  </w:r>
                  <w:r>
                    <w:rPr>
                      <w:rFonts w:ascii="仿宋_GB2312" w:hAnsi="仿宋_GB2312" w:cs="仿宋_GB2312" w:eastAsia="仿宋_GB2312"/>
                      <w:sz w:val="24"/>
                      <w:color w:val="000000"/>
                    </w:rPr>
                    <w:t>侧门材质：冷轧板</w:t>
                  </w:r>
                  <w:r>
                    <w:rPr>
                      <w:rFonts w:ascii="仿宋_GB2312" w:hAnsi="仿宋_GB2312" w:cs="仿宋_GB2312" w:eastAsia="仿宋_GB2312"/>
                      <w:sz w:val="24"/>
                      <w:color w:val="000000"/>
                    </w:rPr>
                    <w:t>T=1.0</w:t>
                  </w:r>
                  <w:r>
                    <w:br/>
                  </w:r>
                  <w:r>
                    <w:rPr>
                      <w:rFonts w:ascii="仿宋_GB2312" w:hAnsi="仿宋_GB2312" w:cs="仿宋_GB2312" w:eastAsia="仿宋_GB2312"/>
                      <w:sz w:val="24"/>
                      <w:color w:val="000000"/>
                    </w:rPr>
                    <w:t>门框左右立柱材质：冷轧板</w:t>
                  </w:r>
                  <w:r>
                    <w:rPr>
                      <w:rFonts w:ascii="仿宋_GB2312" w:hAnsi="仿宋_GB2312" w:cs="仿宋_GB2312" w:eastAsia="仿宋_GB2312"/>
                      <w:sz w:val="24"/>
                      <w:color w:val="000000"/>
                    </w:rPr>
                    <w:t>T=1.2（框架）</w:t>
                  </w:r>
                  <w:r>
                    <w:br/>
                  </w:r>
                  <w:r>
                    <w:rPr>
                      <w:rFonts w:ascii="仿宋_GB2312" w:hAnsi="仿宋_GB2312" w:cs="仿宋_GB2312" w:eastAsia="仿宋_GB2312"/>
                      <w:sz w:val="24"/>
                      <w:color w:val="000000"/>
                    </w:rPr>
                    <w:t>左右支架：冷轧板</w:t>
                  </w:r>
                  <w:r>
                    <w:rPr>
                      <w:rFonts w:ascii="仿宋_GB2312" w:hAnsi="仿宋_GB2312" w:cs="仿宋_GB2312" w:eastAsia="仿宋_GB2312"/>
                      <w:sz w:val="24"/>
                      <w:color w:val="000000"/>
                    </w:rPr>
                    <w:t>T=2.0</w:t>
                  </w:r>
                  <w:r>
                    <w:br/>
                  </w:r>
                  <w:r>
                    <w:rPr>
                      <w:rFonts w:ascii="仿宋_GB2312" w:hAnsi="仿宋_GB2312" w:cs="仿宋_GB2312" w:eastAsia="仿宋_GB2312"/>
                      <w:sz w:val="24"/>
                      <w:color w:val="000000"/>
                    </w:rPr>
                    <w:t>横梁：冷轧板</w:t>
                  </w:r>
                  <w:r>
                    <w:rPr>
                      <w:rFonts w:ascii="仿宋_GB2312" w:hAnsi="仿宋_GB2312" w:cs="仿宋_GB2312" w:eastAsia="仿宋_GB2312"/>
                      <w:sz w:val="24"/>
                      <w:color w:val="000000"/>
                    </w:rPr>
                    <w:t>T=1.2</w:t>
                  </w:r>
                  <w:r>
                    <w:br/>
                  </w:r>
                  <w:r>
                    <w:rPr>
                      <w:rFonts w:ascii="仿宋_GB2312" w:hAnsi="仿宋_GB2312" w:cs="仿宋_GB2312" w:eastAsia="仿宋_GB2312"/>
                      <w:sz w:val="24"/>
                      <w:color w:val="000000"/>
                    </w:rPr>
                    <w:t>层板：</w:t>
                  </w:r>
                  <w:r>
                    <w:rPr>
                      <w:rFonts w:ascii="仿宋_GB2312" w:hAnsi="仿宋_GB2312" w:cs="仿宋_GB2312" w:eastAsia="仿宋_GB2312"/>
                      <w:sz w:val="24"/>
                      <w:color w:val="000000"/>
                    </w:rPr>
                    <w:t>1个，宽470*深850*高48  mm，承重≥60KG</w:t>
                  </w:r>
                  <w:r>
                    <w:br/>
                  </w:r>
                  <w:r>
                    <w:rPr>
                      <w:rFonts w:ascii="仿宋_GB2312" w:hAnsi="仿宋_GB2312" w:cs="仿宋_GB2312" w:eastAsia="仿宋_GB2312"/>
                      <w:sz w:val="24"/>
                      <w:color w:val="000000"/>
                    </w:rPr>
                    <w:t>L型隔条/支架：1对，长850*宽38*高38  mm，承重≥30KG</w:t>
                  </w:r>
                  <w:r>
                    <w:br/>
                  </w:r>
                  <w:r>
                    <w:rPr>
                      <w:rFonts w:ascii="仿宋_GB2312" w:hAnsi="仿宋_GB2312" w:cs="仿宋_GB2312" w:eastAsia="仿宋_GB2312"/>
                      <w:sz w:val="24"/>
                      <w:color w:val="000000"/>
                    </w:rPr>
                    <w:t>PDU：≥1个，≥8口PDU，输入10A，带2M线</w:t>
                  </w:r>
                  <w:r>
                    <w:br/>
                  </w:r>
                  <w:r>
                    <w:rPr>
                      <w:rFonts w:ascii="仿宋_GB2312" w:hAnsi="仿宋_GB2312" w:cs="仿宋_GB2312" w:eastAsia="仿宋_GB2312"/>
                      <w:sz w:val="24"/>
                      <w:color w:val="000000"/>
                    </w:rPr>
                    <w:t>滚轮：支持</w:t>
                  </w:r>
                  <w:r>
                    <w:rPr>
                      <w:rFonts w:ascii="仿宋_GB2312" w:hAnsi="仿宋_GB2312" w:cs="仿宋_GB2312" w:eastAsia="仿宋_GB2312"/>
                      <w:sz w:val="24"/>
                      <w:color w:val="000000"/>
                    </w:rPr>
                    <w:t>≥4个</w:t>
                  </w:r>
                  <w:r>
                    <w:br/>
                  </w:r>
                  <w:r>
                    <w:rPr>
                      <w:rFonts w:ascii="仿宋_GB2312" w:hAnsi="仿宋_GB2312" w:cs="仿宋_GB2312" w:eastAsia="仿宋_GB2312"/>
                      <w:sz w:val="24"/>
                      <w:color w:val="000000"/>
                    </w:rPr>
                    <w:t>脚撑：支持</w:t>
                  </w:r>
                  <w:r>
                    <w:rPr>
                      <w:rFonts w:ascii="仿宋_GB2312" w:hAnsi="仿宋_GB2312" w:cs="仿宋_GB2312" w:eastAsia="仿宋_GB2312"/>
                      <w:sz w:val="24"/>
                      <w:color w:val="000000"/>
                    </w:rPr>
                    <w:t>≥4个</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核心交换机</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二层网管交换机，交换容量</w:t>
                  </w:r>
                  <w:r>
                    <w:rPr>
                      <w:rFonts w:ascii="仿宋_GB2312" w:hAnsi="仿宋_GB2312" w:cs="仿宋_GB2312" w:eastAsia="仿宋_GB2312"/>
                      <w:sz w:val="24"/>
                      <w:color w:val="000000"/>
                    </w:rPr>
                    <w:t>432Gbps，包转发率108Mpps，24个千兆光口，8个10/100/1000Mbps自适应复用电口，固化4个SFP+万兆光口，支持VLAN、ACL、端口镜像、端口聚合等功能，支持睿易APP和MACC云平台统一管理。</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楼层交换机</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个10/100/1000Mbps自适应电口+1个10/100/1000Mbps自适应上联电口+1个1000Mbps上联SFP光口，其中16个口支持PoE/PoE+供电，整机最大PoE输出功率180W，交换机容量36Gbps，包转发率27Mpps，非网管型交换机，金属外壳，6kV防雷，桌面式，可挂耳上机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楼层交换机</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24个10/100/1000Mbps自适应电口+2个1000Mbps上联SFP光口，其中24个口支持PoE/PoE+供电，整机最大PoE输出功率230W，交换机容量52Gbps，包转发率39Mpps，非网管型交换机，金属外壳，6kV防雷，机架式</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光模块</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千兆单模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光缆</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国标单模</w:t>
                  </w:r>
                  <w:r>
                    <w:rPr>
                      <w:rFonts w:ascii="仿宋_GB2312" w:hAnsi="仿宋_GB2312" w:cs="仿宋_GB2312" w:eastAsia="仿宋_GB2312"/>
                      <w:sz w:val="24"/>
                      <w:color w:val="000000"/>
                    </w:rPr>
                    <w:t>24芯</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电源线</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w:t>
                  </w:r>
                  <w:r>
                    <w:rPr>
                      <w:rFonts w:ascii="仿宋_GB2312" w:hAnsi="仿宋_GB2312" w:cs="仿宋_GB2312" w:eastAsia="仿宋_GB2312"/>
                      <w:sz w:val="24"/>
                      <w:color w:val="000000"/>
                    </w:rPr>
                    <w:t>RVV2*2.5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楼层机柜</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钢制喷塑</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PDU专用电源</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★8位 10APDU插板的额定电压通常为250V，额定电流一般为10A，这决定了插板的最大功率承载能力,采用铝合金材质，而YZ品牌的PDU插板则采用PC合金塑料材质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机柜专用理线架</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★标准19英寸机架式安装，高度：1U</w:t>
                  </w:r>
                  <w:r>
                    <w:br/>
                  </w:r>
                  <w:r>
                    <w:rPr>
                      <w:rFonts w:ascii="仿宋_GB2312" w:hAnsi="仿宋_GB2312" w:cs="仿宋_GB2312" w:eastAsia="仿宋_GB2312"/>
                      <w:sz w:val="24"/>
                      <w:color w:val="000000"/>
                    </w:rPr>
                    <w:t>材料及厚度：</w:t>
                  </w:r>
                  <w:r>
                    <w:rPr>
                      <w:rFonts w:ascii="仿宋_GB2312" w:hAnsi="仿宋_GB2312" w:cs="仿宋_GB2312" w:eastAsia="仿宋_GB2312"/>
                      <w:sz w:val="24"/>
                      <w:color w:val="000000"/>
                    </w:rPr>
                    <w:t>SPCC冷轧钢板表面脱脂、磷化、静电喷塑处理，架体1.2，盖板1.0mm</w:t>
                  </w:r>
                  <w:r>
                    <w:br/>
                  </w:r>
                  <w:r>
                    <w:rPr>
                      <w:rFonts w:ascii="仿宋_GB2312" w:hAnsi="仿宋_GB2312" w:cs="仿宋_GB2312" w:eastAsia="仿宋_GB2312"/>
                      <w:sz w:val="24"/>
                      <w:color w:val="000000"/>
                    </w:rPr>
                    <w:t>带有盖板</w:t>
                  </w:r>
                  <w:r>
                    <w:br/>
                  </w:r>
                  <w:r>
                    <w:rPr>
                      <w:rFonts w:ascii="仿宋_GB2312" w:hAnsi="仿宋_GB2312" w:cs="仿宋_GB2312" w:eastAsia="仿宋_GB2312"/>
                      <w:sz w:val="24"/>
                      <w:color w:val="000000"/>
                    </w:rPr>
                    <w:t>理线档位：</w:t>
                  </w:r>
                  <w:r>
                    <w:rPr>
                      <w:rFonts w:ascii="仿宋_GB2312" w:hAnsi="仿宋_GB2312" w:cs="仿宋_GB2312" w:eastAsia="仿宋_GB2312"/>
                      <w:sz w:val="24"/>
                      <w:color w:val="000000"/>
                    </w:rPr>
                    <w:t>24档</w:t>
                  </w:r>
                  <w:r>
                    <w:br/>
                  </w:r>
                  <w:r>
                    <w:rPr>
                      <w:rFonts w:ascii="仿宋_GB2312" w:hAnsi="仿宋_GB2312" w:cs="仿宋_GB2312" w:eastAsia="仿宋_GB2312"/>
                      <w:sz w:val="24"/>
                      <w:color w:val="000000"/>
                    </w:rPr>
                    <w:t>带有贯穿孔，便于前后走线和冗余线缆的存放</w:t>
                  </w:r>
                  <w:r>
                    <w:br/>
                  </w:r>
                  <w:r>
                    <w:rPr>
                      <w:rFonts w:ascii="仿宋_GB2312" w:hAnsi="仿宋_GB2312" w:cs="仿宋_GB2312" w:eastAsia="仿宋_GB2312"/>
                      <w:sz w:val="24"/>
                      <w:color w:val="000000"/>
                    </w:rPr>
                    <w:t>颜色：黑色</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482×44×80mm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机架式</w:t>
                  </w:r>
                  <w:r>
                    <w:rPr>
                      <w:rFonts w:ascii="仿宋_GB2312" w:hAnsi="仿宋_GB2312" w:cs="仿宋_GB2312" w:eastAsia="仿宋_GB2312"/>
                      <w:sz w:val="24"/>
                      <w:color w:val="000000"/>
                    </w:rPr>
                    <w:t>ODF</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ODF光纤配线架，包含辅材配件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技术服务</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综合楼</w:t>
                  </w:r>
                  <w:r>
                    <w:rPr>
                      <w:rFonts w:ascii="仿宋_GB2312" w:hAnsi="仿宋_GB2312" w:cs="仿宋_GB2312" w:eastAsia="仿宋_GB2312"/>
                      <w:sz w:val="24"/>
                      <w:color w:val="000000"/>
                    </w:rPr>
                    <w:t>246路安装调试及原有监控420路对接调试，使用人员培训，要与原有系统无缝对接，保证新安装于原有系统正常使用，对整体安防系统免费质保两年，用户电话通知，两小时必须到达现场解决，确保系统实时运行正常。</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验收标准：国家标准、行业标准、企业标准 质量要求：符合国家相关法律、法规及采购人要求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合同内所有范围，保修期一年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1、在执行本合同中发生的或与本合同有关的争端，双方应通过友好协商解决，经协商在XX天内不能达成协议时，则采取以下第____种方式解决争议： （1）向甲方所在地有管辖权的人民法院提起诉讼； （2）向____________仲裁委员会按其仲裁规则申请仲裁。 2、在仲裁期间，本合同应继续履行。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1.特别注意:为顺利推进政府采购电子化交易平台应用工作，供应商需要在线提交所有通过电子化交易平台实施的政府采购项目的谈判响应文件。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台区兴汉路南缙颐·久玺台售楼部2楼。 3.如谈判文件中融资相关内容与新政策要求有出入，按照最新要求执行。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商务应答表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供应商应授权合法的人员参加谈判全过程</w:t>
            </w:r>
          </w:p>
        </w:tc>
        <w:tc>
          <w:tcPr>
            <w:tcW w:type="dxa" w:w="3322"/>
          </w:tcPr>
          <w:p>
            <w:pPr>
              <w:pStyle w:val="null3"/>
            </w:pPr>
            <w:r>
              <w:rPr>
                <w:rFonts w:ascii="仿宋_GB2312" w:hAnsi="仿宋_GB2312" w:cs="仿宋_GB2312" w:eastAsia="仿宋_GB2312"/>
              </w:rPr>
              <w:t>2、法定代表人身份证明书原件和法定代表人授权书原件及被授权人身份证原件（法定代表人直接参加投标只须提供法定代表人身份证明书原件及身份证原件）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3、具有良好的商业信誉和健全的财务会计制度,具有履行合同所必需的设备和专业技术能力，具有依法缴纳税收和社会保障金的良好记录，参加本项目采购活动前三年内无重大违法活动记录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w:t>
            </w:r>
          </w:p>
        </w:tc>
        <w:tc>
          <w:tcPr>
            <w:tcW w:type="dxa" w:w="3322"/>
          </w:tcPr>
          <w:p>
            <w:pPr>
              <w:pStyle w:val="null3"/>
            </w:pPr>
            <w:r>
              <w:rPr>
                <w:rFonts w:ascii="仿宋_GB2312" w:hAnsi="仿宋_GB2312" w:cs="仿宋_GB2312" w:eastAsia="仿宋_GB2312"/>
              </w:rPr>
              <w:t>签字盖章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满足参数要求</w:t>
            </w:r>
          </w:p>
        </w:tc>
        <w:tc>
          <w:tcPr>
            <w:tcW w:type="dxa" w:w="1661"/>
          </w:tcPr>
          <w:p>
            <w:pPr>
              <w:pStyle w:val="null3"/>
            </w:pPr>
            <w:r>
              <w:rPr>
                <w:rFonts w:ascii="仿宋_GB2312" w:hAnsi="仿宋_GB2312" w:cs="仿宋_GB2312" w:eastAsia="仿宋_GB2312"/>
              </w:rPr>
              <w:t>响应文件封面 产品技术参数表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