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版本号：SXPZ-2025-06-0220250530001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南郑区现代农业基地建设项目（冷库建设项目）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SXPZ-2025-06-02</w:t>
      </w:r>
      <w:r>
        <w:br/>
      </w:r>
      <w:r>
        <w:br/>
      </w:r>
      <w:r>
        <w:br/>
      </w:r>
    </w:p>
    <w:p>
      <w:pPr>
        <w:pStyle w:val="null3"/>
        <w:jc w:val="center"/>
        <w:outlineLvl w:val="2"/>
      </w:pPr>
      <w:r>
        <w:rPr>
          <w:rFonts w:ascii="仿宋_GB2312" w:hAnsi="仿宋_GB2312" w:cs="仿宋_GB2312" w:eastAsia="仿宋_GB2312"/>
          <w:sz w:val="28"/>
          <w:b/>
        </w:rPr>
        <w:t>汉中市南郑区生态资源统筹发展中心</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汉中市南郑区生态资源统筹发展中心</w:t>
      </w:r>
      <w:r>
        <w:rPr>
          <w:rFonts w:ascii="仿宋_GB2312" w:hAnsi="仿宋_GB2312" w:cs="仿宋_GB2312" w:eastAsia="仿宋_GB2312"/>
        </w:rPr>
        <w:t>委托，拟对</w:t>
      </w:r>
      <w:r>
        <w:rPr>
          <w:rFonts w:ascii="仿宋_GB2312" w:hAnsi="仿宋_GB2312" w:cs="仿宋_GB2312" w:eastAsia="仿宋_GB2312"/>
        </w:rPr>
        <w:t>南郑区现代农业基地建设项目（冷库建设项目）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SXPZ-2025-06-02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南郑区现代农业基地建设项目（冷库建设项目）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该项目建设地点汉中市南郑区高台镇、黄官镇，共有2座单层钢框架结构建筑，高台镇建筑总面积371.83m2，建筑檐口高度5.5m、黄官镇建筑面积214.6m2，堰口高度5.5m。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采购包1（南郑区现代农业基地建设项目（冷库建设项目））：属于专门面向中小企业采购。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3、供应商需在项目电子化交易系统中按要求上传相应证明文件并进行电子签章。：供应商具有建设部门颁发的建筑工程施工总承包叁级及以上资质；具有有效的安全生产许可证；</w:t>
      </w:r>
    </w:p>
    <w:p>
      <w:pPr>
        <w:pStyle w:val="null3"/>
      </w:pPr>
      <w:r>
        <w:rPr>
          <w:rFonts w:ascii="仿宋_GB2312" w:hAnsi="仿宋_GB2312" w:cs="仿宋_GB2312" w:eastAsia="仿宋_GB2312"/>
        </w:rPr>
        <w:t>4、供应商需在项目电子化交易系统中按要求上传相应证明文件并进行电子签章。：拟派项目经理须具有建筑工程专业注册建造师二级（含二级）以上资格和安全生产考核合格B证，且无在建项目；</w:t>
      </w:r>
    </w:p>
    <w:p>
      <w:pPr>
        <w:pStyle w:val="null3"/>
      </w:pPr>
      <w:r>
        <w:rPr>
          <w:rFonts w:ascii="仿宋_GB2312" w:hAnsi="仿宋_GB2312" w:cs="仿宋_GB2312" w:eastAsia="仿宋_GB2312"/>
        </w:rPr>
        <w:t>5、供应商需在项目电子化交易系统中按要求上传相应证明文件并进行电子签章。：本项目专门面向中小微企业采购（残疾人福利性质单位、监狱企业视同为小型、微型企业），非中小微企业不得参与；</w:t>
      </w:r>
    </w:p>
    <w:p>
      <w:pPr>
        <w:pStyle w:val="null3"/>
      </w:pPr>
      <w:r>
        <w:rPr>
          <w:rFonts w:ascii="仿宋_GB2312" w:hAnsi="仿宋_GB2312" w:cs="仿宋_GB2312" w:eastAsia="仿宋_GB2312"/>
        </w:rPr>
        <w:t>6、供应商需在项目电子化交易系统中按要求上传相应证明文件并进行电子签章。：供应商提供《汉中市政府采购供应商资格承诺函》；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汉中市南郑区生态资源统筹发展中心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汉中市南郑区汉山街道汉山广场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汉中市南郑区生态资源统筹发展中心经办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18992608300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18009160592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采购包1：1,326,000.00元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工程类</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工程类</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工程类</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本次招标的服务费，交费金额参照《国家计委关于印发招标代理服务费管理暂行办法的通知》（计价格【2002】1980号）文件及国家发展委下发的《关于降低部分建设项目收费标准规范收费行为等有关问题的通知》[2011]534号文件规定标准，以中标价金额为基准价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汉中市南郑区生态资源统筹发展中心</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汉中市南郑区生态资源统筹发展中心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汉中市南郑区生态资源统筹发展中心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联系人：刘毅梅</w:t>
      </w:r>
    </w:p>
    <w:p>
      <w:pPr>
        <w:pStyle w:val="null3"/>
      </w:pPr>
      <w:r>
        <w:rPr>
          <w:rFonts w:ascii="仿宋_GB2312" w:hAnsi="仿宋_GB2312" w:cs="仿宋_GB2312" w:eastAsia="仿宋_GB2312"/>
        </w:rPr>
        <w:t>联系电话：0916-5364188</w:t>
      </w:r>
    </w:p>
    <w:p>
      <w:pPr>
        <w:pStyle w:val="null3"/>
      </w:pPr>
      <w:r>
        <w:rPr>
          <w:rFonts w:ascii="仿宋_GB2312" w:hAnsi="仿宋_GB2312" w:cs="仿宋_GB2312" w:eastAsia="仿宋_GB2312"/>
        </w:rPr>
        <w:t>地址：汉中市南郑区中所营街道办董家营十字</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1,326,000.00</w:t>
      </w:r>
    </w:p>
    <w:p>
      <w:pPr>
        <w:pStyle w:val="null3"/>
      </w:pPr>
      <w:r>
        <w:rPr>
          <w:rFonts w:ascii="仿宋_GB2312" w:hAnsi="仿宋_GB2312" w:cs="仿宋_GB2312" w:eastAsia="仿宋_GB2312"/>
        </w:rPr>
        <w:t>采购包最高限价（元）: 1,325,998.78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南郑区现代农业基地建设项目（冷库建设项目）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1,326,000.00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标的名称：南郑区现代农业基地建设项目（冷库建设项目）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该项目建设地点汉中市南郑区高台镇、黄官镇，共有2座单层钢框架结构建筑，高台镇建筑总面积371.83m2，建筑檐口高度5.5m、黄官镇建筑面积214.6m2，堰口高度5.5m。</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供应商具有建设部门颁发的建筑工程施工总承包叁级及以上资质；具有有效的安全生产许可证；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拟派项目经理须具有建筑工程专业注册建造师二级（含二级）以上资格和安全生产考核合格B证，且无在建项目；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本项目专门面向中小微企业采购（残疾人福利性质单位、监狱企业视同为小型、微型企业），非中小微企业不得参与；</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方案可行、措施有力者，得 15-10 分；方案基本可行、措施一般者，得9-4分；方案不可行、措施不力者，得 3-1 分，缺项得0分。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措施完整可行、目标明确、措施有力者， 得10-7 分；方案完整一般、目标明确，措施一般者，得 6-3 分；方案完整不全、目标不明确，措施不力者得 2-1分，缺项得0分。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措施完整可行、目标明确、措施有力者， 得10-7 分；方案完整一般、目标明确，措施一般者，得 6-3 分；方案完整不 全、目标不明确，措施不力者得 2-1 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措施完整可行、目标明确、措施有力者， 得10-7 分；方案完整一般、目标明确，措施一般者，得 6-3 分；方案完整不 全、目标不明确，措施不力者得2-1分，缺项得0分。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措施完整可行、目标明确、措施有力者， 得10-7 分；方案完整一般、目标明确，措施一般者，得 6-3 分；方案完整不 全、目标不明确，措施不力者得 2-1 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织管理人员构成：其中项目经理为工程师得1分，高级工程师得2分；项目技术负责人为工程师得1分，高级工程师得2分；拟投入的资料员、施工员、质量员、材料员、安全员应具有有效岗位证书，每少一人扣1分，计满6分为止。（以上人员需提供资质证书复印件加盖投标单位公章装入响应文件中）</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供应商提供2022年1月至今完成的类似项目业绩，每提供一个合格业绩得2.5分，满分5分。 注：以合同协议书为准，磋商响应文件内附复印件，无此内容得0分。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 磋商报价得分=(磋商基准价/最后磋商报价)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