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版本号：SXBPRZB——2025061220250620004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南郑区2025年农村安全饮水消毒设备购安项目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SXBPRZB——20250612</w:t>
      </w:r>
      <w:r>
        <w:br/>
      </w:r>
      <w:r>
        <w:br/>
      </w:r>
      <w:r>
        <w:br/>
      </w:r>
    </w:p>
    <w:p>
      <w:pPr>
        <w:pStyle w:val="null3"/>
        <w:jc w:val="center"/>
        <w:outlineLvl w:val="2"/>
      </w:pPr>
      <w:r>
        <w:rPr>
          <w:rFonts w:ascii="仿宋_GB2312" w:hAnsi="仿宋_GB2312" w:cs="仿宋_GB2312" w:eastAsia="仿宋_GB2312"/>
          <w:sz w:val="28"/>
          <w:b/>
        </w:rPr>
        <w:t>汉中市南郑区农村供水管理中心</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汉中市南郑区农村供水管理中心</w:t>
      </w:r>
      <w:r>
        <w:rPr>
          <w:rFonts w:ascii="仿宋_GB2312" w:hAnsi="仿宋_GB2312" w:cs="仿宋_GB2312" w:eastAsia="仿宋_GB2312"/>
        </w:rPr>
        <w:t>委托，拟对</w:t>
      </w:r>
      <w:r>
        <w:rPr>
          <w:rFonts w:ascii="仿宋_GB2312" w:hAnsi="仿宋_GB2312" w:cs="仿宋_GB2312" w:eastAsia="仿宋_GB2312"/>
        </w:rPr>
        <w:t>南郑区2025年农村安全饮水消毒设备购安项目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SXBPRZB——20250612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南郑区2025年农村安全饮水消毒设备购安项目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购置安装147套次氯酸钠消毒设备及附属设施。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采购包1（南郑区2025年农村安全饮水消毒设备购安项目）：属于专门面向中小企业采购。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1、特定资格要求：1、具有独立承担民事责任能力的法人、其他组织或自然人，并出具合法有效的营业执照或事业单位法人证书等国家规定的相关证明，自然人参与的提供其身份证明。 2、设备生产厂家次氯酸钠发生器需获得省级及以上卫生部门颁发的卫生许可批件； 3、供应商需提供加盖公章的《汉中市政府采购供应商资格承诺函》。 4、法定代表人身份证明或授权委托书：法定代表人参加投标须提供《法定代表人身份证明》及身份证扫描件；法定代表人授权他人参加投标，须提供《法定代表人授权委托书》。 5、本项目不接受联合体。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汉中市南郑区农村供水管理中心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汉中市南郑区农村供水管理中心经办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0916-5514010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13991622700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汉中市南郑区农村供水管理中心</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汉中市南郑区农村供水管理中心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汉中市南郑区农村供水管理中心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联系电话：13991622700</w:t>
      </w:r>
    </w:p>
    <w:p>
      <w:pPr>
        <w:pStyle w:val="null3"/>
      </w:pPr>
      <w:r>
        <w:rPr>
          <w:rFonts w:ascii="仿宋_GB2312" w:hAnsi="仿宋_GB2312" w:cs="仿宋_GB2312" w:eastAsia="仿宋_GB2312"/>
        </w:rPr>
        <w:t>地址：汉台区兴汉路南缙颐·久玺台售楼部2楼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购置安装147套次氯酸钠消毒设备及附属设施。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2,770,000.00</w:t>
      </w:r>
    </w:p>
    <w:p>
      <w:pPr>
        <w:pStyle w:val="null3"/>
      </w:pPr>
      <w:r>
        <w:rPr>
          <w:rFonts w:ascii="仿宋_GB2312" w:hAnsi="仿宋_GB2312" w:cs="仿宋_GB2312" w:eastAsia="仿宋_GB2312"/>
        </w:rPr>
        <w:t>采购包最高限价（元）: 2,770,000.00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购置安装次氯酸钠消毒设备及附属设施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标的名称：购置安装次氯酸钠消毒设备及附属设施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规格0-</w:t>
            </w:r>
            <w:r>
              <w:rPr>
                <w:rFonts w:ascii="仿宋_GB2312" w:hAnsi="仿宋_GB2312" w:cs="仿宋_GB2312" w:eastAsia="仿宋_GB2312"/>
                <w:sz w:val="21"/>
              </w:rPr>
              <w:t>50g/h</w:t>
            </w:r>
            <w:r>
              <w:rPr>
                <w:rFonts w:ascii="仿宋_GB2312" w:hAnsi="仿宋_GB2312" w:cs="仿宋_GB2312" w:eastAsia="仿宋_GB2312"/>
                <w:sz w:val="21"/>
              </w:rPr>
              <w:t>次氯酸钠消毒设备</w:t>
            </w:r>
            <w:r>
              <w:rPr>
                <w:rFonts w:ascii="仿宋_GB2312" w:hAnsi="仿宋_GB2312" w:cs="仿宋_GB2312" w:eastAsia="仿宋_GB2312"/>
                <w:sz w:val="21"/>
              </w:rPr>
              <w:t>147套（</w:t>
            </w:r>
            <w:r>
              <w:rPr>
                <w:rFonts w:ascii="仿宋_GB2312" w:hAnsi="仿宋_GB2312" w:cs="仿宋_GB2312" w:eastAsia="仿宋_GB2312"/>
                <w:sz w:val="21"/>
              </w:rPr>
              <w:t>含安装及附属设施</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outlineLvl w:val="0"/>
            </w:pPr>
            <w:r>
              <w:rPr>
                <w:rFonts w:ascii="仿宋_GB2312" w:hAnsi="仿宋_GB2312" w:cs="仿宋_GB2312" w:eastAsia="仿宋_GB2312"/>
                <w:sz w:val="21"/>
                <w:b/>
              </w:rPr>
              <w:t>设备为高度集成的一体式次氯酸钠发生器，整机集成于</w:t>
            </w:r>
            <w:r>
              <w:rPr>
                <w:rFonts w:ascii="仿宋_GB2312" w:hAnsi="仿宋_GB2312" w:cs="仿宋_GB2312" w:eastAsia="仿宋_GB2312"/>
                <w:sz w:val="21"/>
                <w:b/>
              </w:rPr>
              <w:t>PVC耐腐蚀机箱内，有效氯产量：0-50g/h，采用微电脑智能控制，可全自动/手动运行，设备自带高频电源。</w:t>
            </w:r>
            <w:r>
              <w:rPr>
                <w:rFonts w:ascii="仿宋_GB2312" w:hAnsi="仿宋_GB2312" w:cs="仿宋_GB2312" w:eastAsia="仿宋_GB2312"/>
                <w:sz w:val="21"/>
                <w:b/>
              </w:rPr>
              <w:t>参数详见下表</w:t>
            </w:r>
          </w:p>
          <w:tbl>
            <w:tblPr>
              <w:tblBorders>
                <w:top w:val="none" w:color="000000" w:sz="4"/>
                <w:left w:val="none" w:color="000000" w:sz="4"/>
                <w:bottom w:val="none" w:color="000000" w:sz="4"/>
                <w:right w:val="none" w:color="000000" w:sz="4"/>
                <w:insideH w:val="none"/>
                <w:insideV w:val="none"/>
              </w:tblBorders>
            </w:tblPr>
            <w:tblGrid>
              <w:gridCol w:w="165"/>
              <w:gridCol w:w="205"/>
              <w:gridCol w:w="559"/>
              <w:gridCol w:w="1554"/>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部件</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r>
            <w:tr>
              <w:tc>
                <w:tcPr>
                  <w:tcW w:type="dxa" w:w="1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次氯酸钠发生器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次氯酸钠发生器主机</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高度集成的次氯酸钠发生器，系统内所有工艺管道、电控线缆等均集成安装，整机集成于耐腐蚀机箱内</w:t>
                  </w:r>
                </w:p>
                <w:p>
                  <w:pPr>
                    <w:pStyle w:val="null3"/>
                    <w:jc w:val="left"/>
                  </w:pPr>
                  <w:r>
                    <w:rPr>
                      <w:rFonts w:ascii="仿宋_GB2312" w:hAnsi="仿宋_GB2312" w:cs="仿宋_GB2312" w:eastAsia="仿宋_GB2312"/>
                      <w:sz w:val="21"/>
                    </w:rPr>
                    <w:t>有效氯产量：</w:t>
                  </w:r>
                  <w:r>
                    <w:rPr>
                      <w:rFonts w:ascii="仿宋_GB2312" w:hAnsi="仿宋_GB2312" w:cs="仿宋_GB2312" w:eastAsia="仿宋_GB2312"/>
                      <w:sz w:val="21"/>
                    </w:rPr>
                    <w:t>0~</w:t>
                  </w:r>
                  <w:r>
                    <w:rPr>
                      <w:rFonts w:ascii="仿宋_GB2312" w:hAnsi="仿宋_GB2312" w:cs="仿宋_GB2312" w:eastAsia="仿宋_GB2312"/>
                      <w:sz w:val="21"/>
                    </w:rPr>
                    <w:t>50g/h</w:t>
                  </w:r>
                  <w:r>
                    <w:rPr>
                      <w:rFonts w:ascii="仿宋_GB2312" w:hAnsi="仿宋_GB2312" w:cs="仿宋_GB2312" w:eastAsia="仿宋_GB2312"/>
                      <w:sz w:val="21"/>
                    </w:rPr>
                    <w:t xml:space="preserve">     </w:t>
                  </w:r>
                  <w:r>
                    <w:br/>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 xml:space="preserve">≥0.6kW                        </w:t>
                  </w:r>
                </w:p>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220V，50HZ</w:t>
                  </w:r>
                </w:p>
                <w:p>
                  <w:pPr>
                    <w:pStyle w:val="null3"/>
                    <w:jc w:val="left"/>
                  </w:pPr>
                  <w:r>
                    <w:rPr>
                      <w:rFonts w:ascii="仿宋_GB2312" w:hAnsi="仿宋_GB2312" w:cs="仿宋_GB2312" w:eastAsia="仿宋_GB2312"/>
                      <w:sz w:val="21"/>
                    </w:rPr>
                    <w:t>设备尺寸</w:t>
                  </w:r>
                  <w:r>
                    <w:rPr>
                      <w:rFonts w:ascii="仿宋_GB2312" w:hAnsi="仿宋_GB2312" w:cs="仿宋_GB2312" w:eastAsia="仿宋_GB2312"/>
                      <w:sz w:val="21"/>
                    </w:rPr>
                    <w:t xml:space="preserve">≥800*400*1200mm                   </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控制系统</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采用微电脑</w:t>
                  </w:r>
                  <w:r>
                    <w:rPr>
                      <w:rFonts w:ascii="仿宋_GB2312" w:hAnsi="仿宋_GB2312" w:cs="仿宋_GB2312" w:eastAsia="仿宋_GB2312"/>
                      <w:sz w:val="21"/>
                    </w:rPr>
                    <w:t>智能</w:t>
                  </w:r>
                  <w:r>
                    <w:rPr>
                      <w:rFonts w:ascii="仿宋_GB2312" w:hAnsi="仿宋_GB2312" w:cs="仿宋_GB2312" w:eastAsia="仿宋_GB2312"/>
                      <w:sz w:val="21"/>
                    </w:rPr>
                    <w:t>控制，</w:t>
                  </w:r>
                  <w:r>
                    <w:rPr>
                      <w:rFonts w:ascii="仿宋_GB2312" w:hAnsi="仿宋_GB2312" w:cs="仿宋_GB2312" w:eastAsia="仿宋_GB2312"/>
                      <w:sz w:val="21"/>
                    </w:rPr>
                    <w:t>全自动运行，</w:t>
                  </w:r>
                  <w:r>
                    <w:rPr>
                      <w:rFonts w:ascii="仿宋_GB2312" w:hAnsi="仿宋_GB2312" w:cs="仿宋_GB2312" w:eastAsia="仿宋_GB2312"/>
                      <w:sz w:val="21"/>
                    </w:rPr>
                    <w:t>功率配套</w:t>
                  </w:r>
                  <w:r>
                    <w:rPr>
                      <w:rFonts w:ascii="仿宋_GB2312" w:hAnsi="仿宋_GB2312" w:cs="仿宋_GB2312" w:eastAsia="仿宋_GB2312"/>
                      <w:sz w:val="21"/>
                    </w:rPr>
                    <w:t>,配电要求：220V，50Hz，输入电压范围±10%</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电解电源</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高频电源，输入</w:t>
                  </w:r>
                  <w:r>
                    <w:rPr>
                      <w:rFonts w:ascii="仿宋_GB2312" w:hAnsi="仿宋_GB2312" w:cs="仿宋_GB2312" w:eastAsia="仿宋_GB2312"/>
                      <w:sz w:val="21"/>
                    </w:rPr>
                    <w:t>220V，50HZ  输出12V，≥</w:t>
                  </w:r>
                  <w:r>
                    <w:rPr>
                      <w:rFonts w:ascii="仿宋_GB2312" w:hAnsi="仿宋_GB2312" w:cs="仿宋_GB2312" w:eastAsia="仿宋_GB2312"/>
                      <w:sz w:val="21"/>
                    </w:rPr>
                    <w:t>3</w:t>
                  </w:r>
                  <w:r>
                    <w:rPr>
                      <w:rFonts w:ascii="仿宋_GB2312" w:hAnsi="仿宋_GB2312" w:cs="仿宋_GB2312" w:eastAsia="仿宋_GB2312"/>
                      <w:sz w:val="21"/>
                    </w:rPr>
                    <w:t>0A</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电解电极</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材质：纯钛</w:t>
                  </w:r>
                  <w:r>
                    <w:rPr>
                      <w:rFonts w:ascii="仿宋_GB2312" w:hAnsi="仿宋_GB2312" w:cs="仿宋_GB2312" w:eastAsia="仿宋_GB2312"/>
                      <w:sz w:val="21"/>
                    </w:rPr>
                    <w:t>基材</w:t>
                  </w:r>
                  <w:r>
                    <w:rPr>
                      <w:rFonts w:ascii="仿宋_GB2312" w:hAnsi="仿宋_GB2312" w:cs="仿宋_GB2312" w:eastAsia="仿宋_GB2312"/>
                      <w:sz w:val="21"/>
                    </w:rPr>
                    <w:t>，表面涂层</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电解连接线</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阳极、阴极与电解电源连接</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溶盐水</w:t>
                  </w:r>
                </w:p>
                <w:p>
                  <w:pPr>
                    <w:pStyle w:val="null3"/>
                    <w:jc w:val="left"/>
                  </w:pPr>
                  <w:r>
                    <w:rPr>
                      <w:rFonts w:ascii="仿宋_GB2312" w:hAnsi="仿宋_GB2312" w:cs="仿宋_GB2312" w:eastAsia="仿宋_GB2312"/>
                      <w:sz w:val="21"/>
                    </w:rPr>
                    <w:t>流量计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最小量程</w:t>
                  </w:r>
                  <w:r>
                    <w:rPr>
                      <w:rFonts w:ascii="仿宋_GB2312" w:hAnsi="仿宋_GB2312" w:cs="仿宋_GB2312" w:eastAsia="仿宋_GB2312"/>
                      <w:sz w:val="21"/>
                    </w:rPr>
                    <w:t>≥6ml/mim，最大量程≤60ml/mim含安装附件</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稀释水</w:t>
                  </w:r>
                </w:p>
                <w:p>
                  <w:pPr>
                    <w:pStyle w:val="null3"/>
                    <w:jc w:val="left"/>
                  </w:pPr>
                  <w:r>
                    <w:rPr>
                      <w:rFonts w:ascii="仿宋_GB2312" w:hAnsi="仿宋_GB2312" w:cs="仿宋_GB2312" w:eastAsia="仿宋_GB2312"/>
                      <w:sz w:val="21"/>
                    </w:rPr>
                    <w:t>流量计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释流水流量计量程</w:t>
                  </w:r>
                  <w:r>
                    <w:rPr>
                      <w:rFonts w:ascii="仿宋_GB2312" w:hAnsi="仿宋_GB2312" w:cs="仿宋_GB2312" w:eastAsia="仿宋_GB2312"/>
                      <w:sz w:val="21"/>
                    </w:rPr>
                    <w:t>:最小量程≥6ml/mim，最大量程≤160ml/mim含安装附件</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溶盐箱</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储存原料，溶解制备浓盐水，材质</w:t>
                  </w:r>
                  <w:r>
                    <w:rPr>
                      <w:rFonts w:ascii="仿宋_GB2312" w:hAnsi="仿宋_GB2312" w:cs="仿宋_GB2312" w:eastAsia="仿宋_GB2312"/>
                      <w:sz w:val="21"/>
                    </w:rPr>
                    <w:t xml:space="preserve">PVC/PE       </w:t>
                  </w:r>
                </w:p>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一次最大盐储存量</w:t>
                  </w:r>
                  <w:r>
                    <w:rPr>
                      <w:rFonts w:ascii="仿宋_GB2312" w:hAnsi="仿宋_GB2312" w:cs="仿宋_GB2312" w:eastAsia="仿宋_GB2312"/>
                      <w:sz w:val="21"/>
                    </w:rPr>
                    <w:t>≥</w:t>
                  </w:r>
                  <w:r>
                    <w:rPr>
                      <w:rFonts w:ascii="仿宋_GB2312" w:hAnsi="仿宋_GB2312" w:cs="仿宋_GB2312" w:eastAsia="仿宋_GB2312"/>
                      <w:sz w:val="21"/>
                    </w:rPr>
                    <w:t>15kg</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储药箱</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将制备好的成品消毒液储存备用</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PVC/PE，容积</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L</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储药箱</w:t>
                  </w:r>
                </w:p>
                <w:p>
                  <w:pPr>
                    <w:pStyle w:val="null3"/>
                    <w:jc w:val="left"/>
                  </w:pPr>
                  <w:r>
                    <w:rPr>
                      <w:rFonts w:ascii="仿宋_GB2312" w:hAnsi="仿宋_GB2312" w:cs="仿宋_GB2312" w:eastAsia="仿宋_GB2312"/>
                      <w:sz w:val="21"/>
                    </w:rPr>
                    <w:t>液位控制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高中低三液位控制</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加药计量泵</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≥3L/h，≥7bar，220V，配套背压阀</w:t>
                  </w:r>
                  <w:r>
                    <w:rPr>
                      <w:rFonts w:ascii="仿宋_GB2312" w:hAnsi="仿宋_GB2312" w:cs="仿宋_GB2312" w:eastAsia="仿宋_GB2312"/>
                      <w:sz w:val="21"/>
                    </w:rPr>
                    <w:t>（满足不同情况下的有效投药量）</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电磁阀</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220V50HZ，常闭型</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电接点压力表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≥0.6MPa，220V</w:t>
                  </w:r>
                </w:p>
              </w:tc>
            </w:tr>
            <w:tr>
              <w:tc>
                <w:tcPr>
                  <w:tcW w:type="dxa" w:w="165"/>
                  <w:vMerge/>
                  <w:tcBorders>
                    <w:top w:val="none" w:color="000000" w:sz="4"/>
                    <w:left w:val="single" w:color="000000" w:sz="4"/>
                    <w:bottom w:val="non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设备配套</w:t>
                  </w:r>
                  <w:r>
                    <w:rPr>
                      <w:rFonts w:ascii="仿宋_GB2312" w:hAnsi="仿宋_GB2312" w:cs="仿宋_GB2312" w:eastAsia="仿宋_GB2312"/>
                      <w:sz w:val="21"/>
                    </w:rPr>
                    <w:t>管件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符合国家生活饮用水标准材质</w:t>
                  </w:r>
                  <w:r>
                    <w:rPr>
                      <w:rFonts w:ascii="仿宋_GB2312" w:hAnsi="仿宋_GB2312" w:cs="仿宋_GB2312" w:eastAsia="仿宋_GB2312"/>
                      <w:sz w:val="21"/>
                    </w:rPr>
                    <w:t>（</w:t>
                  </w:r>
                  <w:r>
                    <w:rPr>
                      <w:rFonts w:ascii="仿宋_GB2312" w:hAnsi="仿宋_GB2312" w:cs="仿宋_GB2312" w:eastAsia="仿宋_GB2312"/>
                      <w:sz w:val="21"/>
                    </w:rPr>
                    <w:t>GB5749-2022</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场地要求：本次安装设备均利用供水工程已建管理房，</w:t>
            </w:r>
          </w:p>
          <w:p>
            <w:pPr>
              <w:pStyle w:val="null3"/>
              <w:jc w:val="both"/>
            </w:pPr>
            <w:r>
              <w:rPr>
                <w:rFonts w:ascii="仿宋_GB2312" w:hAnsi="仿宋_GB2312" w:cs="仿宋_GB2312" w:eastAsia="仿宋_GB2312"/>
                <w:sz w:val="21"/>
              </w:rPr>
              <w:t>管道设计：进水管采用符合国家生活饮用水标准材质的水管，管径根据供水流量确定，确保水流顺畅；加药管采用耐腐蚀的国标管材，连接消毒设备和供水管道。</w:t>
            </w:r>
          </w:p>
          <w:p>
            <w:pPr>
              <w:pStyle w:val="null3"/>
              <w:jc w:val="both"/>
            </w:pPr>
            <w:r>
              <w:rPr>
                <w:rFonts w:ascii="仿宋_GB2312" w:hAnsi="仿宋_GB2312" w:cs="仿宋_GB2312" w:eastAsia="仿宋_GB2312"/>
                <w:sz w:val="21"/>
              </w:rPr>
              <w:t>电气设计：设备用电利用现有管理房内已接入两相电，采用专用配电箱供电，配电箱内设置过载、短路、漏电保护装置。设备的控制线路采用屏蔽线，防止干扰，确保控制信号准确传输。</w:t>
            </w:r>
          </w:p>
          <w:p>
            <w:pPr>
              <w:pStyle w:val="null3"/>
              <w:jc w:val="both"/>
            </w:pPr>
            <w:r>
              <w:rPr>
                <w:rFonts w:ascii="仿宋_GB2312" w:hAnsi="仿宋_GB2312" w:cs="仿宋_GB2312" w:eastAsia="仿宋_GB2312"/>
                <w:sz w:val="21"/>
              </w:rPr>
              <w:t>施工流程：设备运输进场后先检查设备是否完好，有无损坏，再查验出厂合格标志等是否齐全。确认完好，出厂标志等齐全后进行设备主体安装，固定设备并调整水平度；接着进行管道安装，连接进水管、出水管和加药管，确保管道连接紧密、无渗漏；最后进行电气线路敷设和连接，完成设备接线和调试前的准备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5"/>
              <w:gridCol w:w="385"/>
              <w:gridCol w:w="1441"/>
              <w:gridCol w:w="411"/>
              <w:gridCol w:w="373"/>
              <w:gridCol w:w="322"/>
            </w:tblGrid>
            <w:tr>
              <w:tc>
                <w:tcPr>
                  <w:tcW w:type="dxa" w:w="3177"/>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本次新安装次氯酸钠消毒设备26套，更换消毒设备121套，规格为0-50g/h。施工内容包括次氯酸钠消毒设备购置及安装，每台设备平均20m进水管、20m加药管、10m电缆线购置安装和30m管沟开挖及回填（包含砼路地面破除及恢复），减压阀购置安装等附属设施，每台设备配备50kg无碘食用盐。安装点位详见下表。</w:t>
                  </w:r>
                </w:p>
                <w:p>
                  <w:pPr>
                    <w:pStyle w:val="null3"/>
                    <w:jc w:val="center"/>
                  </w:pPr>
                  <w:r>
                    <w:rPr>
                      <w:rFonts w:ascii="仿宋_GB2312" w:hAnsi="仿宋_GB2312" w:cs="仿宋_GB2312" w:eastAsia="仿宋_GB2312"/>
                      <w:sz w:val="21"/>
                      <w:b/>
                      <w:color w:val="000000"/>
                    </w:rPr>
                    <w:t>次氯酸钠消毒设备安装计划表</w:t>
                  </w:r>
                </w:p>
              </w:tc>
            </w:tr>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镇办</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供水点地址</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新增或更换</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大河坎镇卢家沟村十组供水工程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大河坎镇卢家沟村十一组供水工程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大河坎镇卢家沟村原宋家山供水工程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大河坎镇三花石村张家岭片供水工程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大河坎镇三花石片区人饮工程供水工程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大河坎镇李家营社区边家山片供水工程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大河坎镇李家营社区李家营片供水工程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大河坎镇歇马村安置区供水工程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法镇沙坝村红岩供水工程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法镇茨坝村7组供水工程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法镇沙河村李家湾供水工程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法镇曹家坝村安置点供水工程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汉山街道办原夏家庵村集体供水工程（杨家坝村）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汉山街道办杨家坝村七组供水工程（双龙）</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汉山街道办汉坪村十组供水工程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汉山街道办白家湾村供水工程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汉山街道办岳树岭村六组供水工程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黄官镇潮水村供水工程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黄官镇桂花村2#井供水工程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黄官镇桂花村3#井供水工程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黄官镇五丰村村集体供水工程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黄官镇张家湾村三组供水工程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黄官镇张家湾村七组供水工程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黄官镇新田村一组供水工程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黄官镇新田村四组供水工程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黄官镇青龙村供水工程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黄官镇武营村十组供水工程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黄官镇武营村六组供水工程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黄官镇火地沟村1、2组供水工程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黄官镇火地沟村6、7组供水工程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黄官镇大坪村二组供水工程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黄官镇大坪村五组供水工程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黄官镇大坪村六组供水工程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濂水镇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濂水镇里仁村供水工程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圣水镇青史村人饮工程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圣水镇山羊村二组供水工程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圣水镇山羊村移民安置点（十一组）供水工程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圣水镇山羊村十五组供水工程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圣水镇南华村人饮工程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圣水镇升仙村原白庙片区供水工程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圣水镇五爱村四组供水工程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圣水镇廖坝村村部供水工程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湘水镇湘水村（集镇片）供水工程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湘水镇湘水村黑龙泉供水工程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湘水镇海明村安置点供水工程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湘水镇海明村村部供水工程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湘水镇黄花窑村安置区供水工程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湘水镇黄花窑村四组供水工程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湘水镇红旗村村部供水工程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小南海镇秦家坝村村部供水工程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小南海镇回军坝村3.5.6.7组供水工程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小南海郑家坝村供水工程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小南海双龙村供水工程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协税镇徐坡村供水工程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协税镇三官庙村1#人饮工程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协税镇三官庙村2#人饮工程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协税镇枣林村供水工程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协税镇大营村四组供水工程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协税镇大营村十八组供水工程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新集镇双星村供水工程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新集镇五郎村南湾供水工程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新集镇五郎村山沟供水工程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新集镇五郎村李子沟供水工程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新集镇张营村供水工程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新集镇汪家坝村供水工程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新集镇王坪村供水工程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新集镇程扁村供水工程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新集镇华安村人饮工程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新集镇华安村7组庄子上供水工程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新集镇华安村5组旗杆店供水工程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阳春镇农丰村供水工程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阳春镇陈村龙沟供水工程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阳春镇陈村牧龙泉供水工程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阳春镇陈村15组供水工程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阳春镇苇池村上营供水工程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阳春镇玉泉村岳家湾供水工程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胡家营镇石谷寺村村供水工程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胡家营镇胡家营村韦家山供水工程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胡家营镇王河坎村供水工程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胡家营镇王河坎村（张家山）供水工程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胡家营镇韦家沟供水工程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胡家营镇王河坎村（土地岭19组）供水工程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胡家营镇永灯村供水工程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胡家营镇群星村2组供水工程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胡家营镇建丰村巷口供水工程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胡家营镇胡家营村供水点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两河镇炉河坝村供水工程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两河镇白庙村六祖供水工程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两河镇白庙村七组供水工程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两河镇白庙村九组供水工程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红庙镇罗帐岭村唐家沟供水工程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红庙镇白家坝村供水工程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红庙镇红寺坝村供水工程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牟家坝镇茶房寺六组供水工程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牟家坝镇茶房寺三组供水工程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牟家坝镇茶房寺四组供水工程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牟家坝镇打鼓庙村四组供水工程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牟家坝镇高家岭村七组供水点（车湾）</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牟家坝镇高家岭村三组供水点（三道河）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牟家坝镇高家岭村一组供水点（店子队）</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牟家坝镇十里桃花景区供水点（桑树坪）</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牟家坝镇马鞍山村集中供水点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牟家坝镇牟家坝社区集中供水点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牟家坝镇云峰寺村集中供水点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牟家坝镇牟家坝关公庙村供水点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牟家坝关公庙村响水岩供水点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牟家坝关公庙村9组供水点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牟家坝幸福桥清凉寺供水点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牟家坝祖师殿安置区二期供水点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牟家坝祖师殿1组4组供水点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牟家坝祖师殿6组集中供水点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牟家坝祖师殿7组集中供水点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牟家坝祖师殿黑堰塘集中供水点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青树镇潘家沟村供水点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青树镇五道岭村一组供水点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青树镇五道岭村四组供水点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五道岭村电视台专线供水点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青树镇汉山村供水点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青树镇查家沟村供水点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青树镇查家沟村四组供水点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青树镇高柳村三头湾供水点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青树镇高柳村供水点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青树镇钟宝寨村集中供水点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青树镇钟宝寨村供水点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青树镇汪家坝村3#饮水点供水点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青树镇汪家坝村安置点供水点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青树镇双联村供水点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青树镇七里村供水点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青树镇七里村四组供水点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青树镇黄龙村二里供水点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青树镇黄龙村晏家庄供水点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新增加</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梁山镇爱国村供水点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梁山镇丁店村供水点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梁山镇利民村供水工程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梁山镇前丰村五组供水点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梁山镇前丰村十八组供水点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梁山镇星光村供水点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梁山镇岭岗村供水点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高台镇姜刘村供水点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高台镇立峰村供水点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高台镇弥陀村供水点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高台镇红旗村供水点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高台镇石科村供水点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高台镇战斗村供水点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碑坝镇碑坝社区供水点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碑坝镇花园村供水点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碑坝镇坝溪村供水点</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0-50g</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总工期预计为30天，其中施工准备5天，消毒设备、附属管道、电气设备安装20天，调试和试运行5天。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合同签订工程开工后后预付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乙方将所有设备安装完毕，验收合格，设备调试运转正常，乙方提供两套竣工资料和施工过程及竣工成果照片后，持有关签证单和税务票据进行竣工结算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决算审计后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保修期满后无质量问题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2、设备生产厂家次氯酸钠发生器需获得省级及以上卫生部门颁发的卫生许可批件； 3、供应商需提供加盖公章的《汉中市政府采购供应商资格承诺函》。 4、法定代表人身份证明或授权委托书：法定代表人参加投标须提供《法定代表人身份证明》及身份证扫描件；法定代表人授权他人参加投标，须提供《法定代表人授权委托书》。 5、本项目不接受联合体。</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参与的供应商全部是符合政策要求的中小企业。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开标一览表 商务及技术方案.docx 中小企业声明函.docx 特定资格证明文件.docx 商务应答表.docx 投标保证金支付凭证.docx 分项报价表.docx 投标函 残疾人福利性单位声明函 标的清单 投标文件封面 产品技术参数表.docx 合同基本条款响应.docx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投标保证金支付凭证.docx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投标无效条件：未满足招标文件中商务要求或投标内容出现漏项或数量与要求不符（技术参数与性能指标中带★项，投标文件必须满足招标文件要求）</w:t>
            </w:r>
          </w:p>
        </w:tc>
        <w:tc>
          <w:tcPr>
            <w:tcW w:type="dxa" w:w="1661"/>
          </w:tcPr>
          <w:p>
            <w:pPr>
              <w:pStyle w:val="null3"/>
            </w:pPr>
            <w:r>
              <w:rPr>
                <w:rFonts w:ascii="仿宋_GB2312" w:hAnsi="仿宋_GB2312" w:cs="仿宋_GB2312" w:eastAsia="仿宋_GB2312"/>
              </w:rPr>
              <w:t>开标一览表 商务及技术方案.docx 中小企业声明函.docx 特定资格证明文件.docx 商务应答表.docx 投标保证金支付凭证.docx 分项报价表.docx 投标函 残疾人福利性单位声明函 标的清单 投标文件封面 产品技术参数表.docx 合同基本条款响应.docx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1、投标供应商须提供所投产品针对本项目得原厂授权书（加盖原厂公章），并保证该产品无产权纠纷。提供2分，不提供计0分。 2、所供产品安全可靠，稳定性强，便于操作，性能良好，并能提供产品检验合格证书及第三方检验报告等资料，评标小组根据响应情况进行赋分；优秀 12-18 分，良好 6-12分，一般 0-6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1.针对本项目的组织实施、产品的供货组织措施完善并针对本项目特点做出合理计划及调配，能保证产品达到最佳使用状态； 供货措施完整详细、科学合理，满足各项要求得0-5 分； 2.针对本次采购任务有具体的调试、运行组织措施，能够保证设备产品调试、运行并达到各项要求，组织措施合理、可行得0-5分；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1、原厂交付服务：为保障系统整体交付效果，本项目须由原厂工程师进行现场实施，并提供原厂承诺函。提供得3分，不提供计0分。 2、驻场售后服务：为保障系统长期稳定运行，本项目质保期内投标供应商须提供驻场服务，并提供承诺函。提供得2分，不提供计0分。 3、供应商承诺建立售后服务机构（提供详细的售后方案，包括保修期内的维修、维护内容及服务方式、服务范围、服务承诺以及故障解决方案、响应时间、应急处理方案、专业技术人员保障、售后服务电话等），根据响应程度计0-10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产品专利证书</w:t>
            </w:r>
          </w:p>
        </w:tc>
        <w:tc>
          <w:tcPr>
            <w:tcW w:type="dxa" w:w="2492"/>
          </w:tcPr>
          <w:p>
            <w:pPr>
              <w:pStyle w:val="null3"/>
            </w:pPr>
            <w:r>
              <w:rPr>
                <w:rFonts w:ascii="仿宋_GB2312" w:hAnsi="仿宋_GB2312" w:cs="仿宋_GB2312" w:eastAsia="仿宋_GB2312"/>
              </w:rPr>
              <w:t>投标的次氯酸钠发生器具有国家认可的发明专利的，每一条加3分，最高得分为6分，不提供不得分。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针对本项目提出具体的培训方案，方案内容包含：培训内容、培训人员安排、时间安排，根据方案各部分内容全面详细、阐述条理清晰详尽、是否符合本项目采购需求得0-10分。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投标供应商须提供所投产品厂家的质量管理体系、环境管理体系、职业安全健康管理体系、售后服务认证体系、环境标志产品认证证书：有1项合法有效的体系证书得1分，最多得5分。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公开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详见附件：投标保证金支付凭证.docx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