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版本号：HJLHZ--2025--02220250618001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汉中市南郑区红庙镇2025年通组道路（第一次）建设项目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HJLHZ--2025--022</w:t>
      </w:r>
      <w:r>
        <w:br/>
      </w:r>
      <w:r>
        <w:br/>
      </w:r>
      <w:r>
        <w:br/>
      </w:r>
    </w:p>
    <w:p>
      <w:pPr>
        <w:pStyle w:val="null3"/>
        <w:jc w:val="center"/>
        <w:outlineLvl w:val="2"/>
      </w:pPr>
      <w:r>
        <w:rPr>
          <w:rFonts w:ascii="仿宋_GB2312" w:hAnsi="仿宋_GB2312" w:cs="仿宋_GB2312" w:eastAsia="仿宋_GB2312"/>
          <w:sz w:val="28"/>
          <w:b/>
        </w:rPr>
        <w:t>汉中市南郑区红庙镇人民政府</w:t>
      </w:r>
    </w:p>
    <w:p>
      <w:pPr>
        <w:pStyle w:val="null3"/>
        <w:jc w:val="center"/>
        <w:outlineLvl w:val="2"/>
      </w:pPr>
      <w:r>
        <w:rPr>
          <w:rFonts w:ascii="仿宋_GB2312" w:hAnsi="仿宋_GB2312" w:cs="仿宋_GB2312" w:eastAsia="仿宋_GB2312"/>
          <w:sz w:val="28"/>
          <w:b/>
        </w:rPr>
        <w:t>华建联项目管理有限公司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华建联项目管理有限公司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汉中市南郑区红庙镇人民政府</w:t>
      </w:r>
      <w:r>
        <w:rPr>
          <w:rFonts w:ascii="仿宋_GB2312" w:hAnsi="仿宋_GB2312" w:cs="仿宋_GB2312" w:eastAsia="仿宋_GB2312"/>
        </w:rPr>
        <w:t>委托，拟对</w:t>
      </w:r>
      <w:r>
        <w:rPr>
          <w:rFonts w:ascii="仿宋_GB2312" w:hAnsi="仿宋_GB2312" w:cs="仿宋_GB2312" w:eastAsia="仿宋_GB2312"/>
        </w:rPr>
        <w:t>汉中市南郑区红庙镇2025年通组道路（第一次）建设项目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HJLHZ--2025--022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汉中市南郑区红庙镇2025年通组道路（第一次）建设项目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建设项目基本情况：红庙镇2025年通组道路（第一次）建设项目项目区位于南郑区红庙镇，对其中关键村、干坝子村、红庙社区、金钩村、碾子坝村等原村路进行修缮新建，主要工程内容:路面加宽回填、混凝土路面铺设、路肩培土等涉及5条通村公路等内容，具体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采购包1（红庙镇2025年通组道路（第一次）建设项目）：属于专门面向中小企业采购。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合法登记证明：供应商应为合法注册并具有独立承担民事责任能力的的企业法人、事业法人、其他组织或自然人。企业法人应提供合法有效的标识有统一社会信用代码的营业执照；事业法人应提供事业单位法人证书；其他组织应提供合法登记证明文件；自然人提供身份证明。供应商需在项目电子化交易系统中按要求上传相应证明文件并进行电子签章；</w:t>
      </w:r>
    </w:p>
    <w:p>
      <w:pPr>
        <w:pStyle w:val="null3"/>
      </w:pPr>
      <w:r>
        <w:rPr>
          <w:rFonts w:ascii="仿宋_GB2312" w:hAnsi="仿宋_GB2312" w:cs="仿宋_GB2312" w:eastAsia="仿宋_GB2312"/>
        </w:rPr>
        <w:t>2、供应商须具备资质：供应商须具备建设行政主管部门核发的【公路工程施工总承包】三级及以上资质等级，并具有安全生产许可证且在有效期内，供应商需在项目电子化交易系统中按要求上传相应证明文件并进行电子签章；</w:t>
      </w:r>
    </w:p>
    <w:p>
      <w:pPr>
        <w:pStyle w:val="null3"/>
      </w:pPr>
      <w:r>
        <w:rPr>
          <w:rFonts w:ascii="仿宋_GB2312" w:hAnsi="仿宋_GB2312" w:cs="仿宋_GB2312" w:eastAsia="仿宋_GB2312"/>
        </w:rPr>
        <w:t>3、法定代表人或授权代表要求：法定代表人参加开标会议的，须提供本人身份证原件；法定代表人授权他人参加开标会议的，须提供法定代表人授权委托书并提供被授权代表的身份证原件，供应商需在项目电子化交易系统中按要求上传相应证明文件并进行电子签章；</w:t>
      </w:r>
    </w:p>
    <w:p>
      <w:pPr>
        <w:pStyle w:val="null3"/>
      </w:pPr>
      <w:r>
        <w:rPr>
          <w:rFonts w:ascii="仿宋_GB2312" w:hAnsi="仿宋_GB2312" w:cs="仿宋_GB2312" w:eastAsia="仿宋_GB2312"/>
        </w:rPr>
        <w:t>4、拟派项目负责人资质和专业要求。：具有工程师或以上职称，具有公路工程二级及以上注册建造师资格（不含临时执业资格），并具有交安B类安全考核合格证，无在建工程，无不良记录，社保缴纳证明。供应商需在项目电子化交易系统中按要求上传相应证明文件并进行电子签章；</w:t>
      </w:r>
    </w:p>
    <w:p>
      <w:pPr>
        <w:pStyle w:val="null3"/>
      </w:pPr>
      <w:r>
        <w:rPr>
          <w:rFonts w:ascii="仿宋_GB2312" w:hAnsi="仿宋_GB2312" w:cs="仿宋_GB2312" w:eastAsia="仿宋_GB2312"/>
        </w:rPr>
        <w:t>5、供应商须提供《汉中市政府采购供应商资格承诺函》：供应商应按照汉中市财政局《关于全面推行政府采购供应商基本资格条件承诺制的通知》（汉采办采管〔2024〕20号）文件要求，提供资格承诺函。</w:t>
      </w:r>
    </w:p>
    <w:p>
      <w:pPr>
        <w:pStyle w:val="null3"/>
      </w:pPr>
      <w:r>
        <w:rPr>
          <w:rFonts w:ascii="仿宋_GB2312" w:hAnsi="仿宋_GB2312" w:cs="仿宋_GB2312" w:eastAsia="仿宋_GB2312"/>
        </w:rPr>
        <w:t>6、中小企业声明函：本项目专门面向中小企业采购，供应商须提供中小企业声明函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汉中市南郑区红庙镇人民政府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红庙镇迎宾街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汉中市南郑区红庙镇人民政府经办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18700614869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华建联项目管理有限公司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陕西省汉中市汉台区盛世国际2号写字楼1004室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0916--2222662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采购包1：1,228,630.00元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开户名称：华建联项目管理有限公司汉中分公司</w:t>
            </w:r>
          </w:p>
          <w:p>
            <w:pPr>
              <w:pStyle w:val="null3"/>
            </w:pPr>
            <w:r>
              <w:rPr>
                <w:rFonts w:ascii="仿宋_GB2312" w:hAnsi="仿宋_GB2312" w:cs="仿宋_GB2312" w:eastAsia="仿宋_GB2312"/>
              </w:rPr>
              <w:t>开户银行：中国农业银行汉中市汉台区支行营业部</w:t>
            </w:r>
          </w:p>
          <w:p>
            <w:pPr>
              <w:pStyle w:val="null3"/>
            </w:pPr>
            <w:r>
              <w:rPr>
                <w:rFonts w:ascii="仿宋_GB2312" w:hAnsi="仿宋_GB2312" w:cs="仿宋_GB2312" w:eastAsia="仿宋_GB2312"/>
              </w:rPr>
              <w:t>银行账号：26605401040004078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本项目采购代理服务费的收取依据原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汉中市南郑区红庙镇人民政府</w:t>
      </w:r>
      <w:r>
        <w:rPr>
          <w:rFonts w:ascii="仿宋_GB2312" w:hAnsi="仿宋_GB2312" w:cs="仿宋_GB2312" w:eastAsia="仿宋_GB2312"/>
        </w:rPr>
        <w:t>和</w:t>
      </w:r>
      <w:r>
        <w:rPr>
          <w:rFonts w:ascii="仿宋_GB2312" w:hAnsi="仿宋_GB2312" w:cs="仿宋_GB2312" w:eastAsia="仿宋_GB2312"/>
        </w:rPr>
        <w:t>华建联项目管理有限公司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汉中市南郑区红庙镇人民政府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华建联项目管理有限公司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汉中市南郑区红庙镇人民政府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华建联项目管理有限公司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符合国家和行业规定的合格标准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华建联项目管理有限公司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华建联项目管理有限公司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华建联项目管理有限公司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联系电话：0916--2222662</w:t>
      </w:r>
    </w:p>
    <w:p>
      <w:pPr>
        <w:pStyle w:val="null3"/>
      </w:pPr>
      <w:r>
        <w:rPr>
          <w:rFonts w:ascii="仿宋_GB2312" w:hAnsi="仿宋_GB2312" w:cs="仿宋_GB2312" w:eastAsia="仿宋_GB2312"/>
        </w:rPr>
        <w:t>地址：陕西省汉中市汉台区盛世国际2号写字楼1004室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1,228,630.00</w:t>
      </w:r>
    </w:p>
    <w:p>
      <w:pPr>
        <w:pStyle w:val="null3"/>
      </w:pPr>
      <w:r>
        <w:rPr>
          <w:rFonts w:ascii="仿宋_GB2312" w:hAnsi="仿宋_GB2312" w:cs="仿宋_GB2312" w:eastAsia="仿宋_GB2312"/>
        </w:rPr>
        <w:t>采购包最高限价（元）: 1,228,630.00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项目区位于南郑区红庙镇，对其中关键村、干坝子村、红庙社区、金钩村、碾子坝村等原村路进行修缮新建，主要工程内容:路面加宽回填、混凝土路面铺设、路肩培土等涉及5条通村公路等内容</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1,228,630.00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标的名称：项目区位于南郑区红庙镇，对其中关键村、干坝子村、红庙社区、金钩村、碾子坝村等原村路进行修缮新建，主要工程内容:路面加宽回填、混凝土路面铺设、路肩培土等涉及5条通村公路等内容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spacing w:before="15"/>
              <w:ind w:left="105" w:right="1485"/>
            </w:pPr>
            <w:r>
              <w:rPr>
                <w:rFonts w:ascii="仿宋_GB2312" w:hAnsi="仿宋_GB2312" w:cs="仿宋_GB2312" w:eastAsia="仿宋_GB2312"/>
                <w:sz w:val="22"/>
              </w:rPr>
              <w:t>质量要求：工</w:t>
            </w:r>
            <w:r>
              <w:rPr>
                <w:rFonts w:ascii="仿宋_GB2312" w:hAnsi="仿宋_GB2312" w:cs="仿宋_GB2312" w:eastAsia="仿宋_GB2312"/>
                <w:sz w:val="22"/>
              </w:rPr>
              <w:t>程</w:t>
            </w:r>
            <w:r>
              <w:rPr>
                <w:rFonts w:ascii="仿宋_GB2312" w:hAnsi="仿宋_GB2312" w:cs="仿宋_GB2312" w:eastAsia="仿宋_GB2312"/>
                <w:sz w:val="22"/>
              </w:rPr>
              <w:t>交</w:t>
            </w:r>
            <w:r>
              <w:rPr>
                <w:rFonts w:ascii="仿宋_GB2312" w:hAnsi="仿宋_GB2312" w:cs="仿宋_GB2312" w:eastAsia="仿宋_GB2312"/>
                <w:sz w:val="22"/>
              </w:rPr>
              <w:t>工</w:t>
            </w:r>
            <w:r>
              <w:rPr>
                <w:rFonts w:ascii="仿宋_GB2312" w:hAnsi="仿宋_GB2312" w:cs="仿宋_GB2312" w:eastAsia="仿宋_GB2312"/>
                <w:sz w:val="22"/>
              </w:rPr>
              <w:t>验</w:t>
            </w:r>
            <w:r>
              <w:rPr>
                <w:rFonts w:ascii="仿宋_GB2312" w:hAnsi="仿宋_GB2312" w:cs="仿宋_GB2312" w:eastAsia="仿宋_GB2312"/>
                <w:sz w:val="22"/>
              </w:rPr>
              <w:t>收</w:t>
            </w:r>
            <w:r>
              <w:rPr>
                <w:rFonts w:ascii="仿宋_GB2312" w:hAnsi="仿宋_GB2312" w:cs="仿宋_GB2312" w:eastAsia="仿宋_GB2312"/>
                <w:sz w:val="22"/>
              </w:rPr>
              <w:t>的</w:t>
            </w:r>
            <w:r>
              <w:rPr>
                <w:rFonts w:ascii="仿宋_GB2312" w:hAnsi="仿宋_GB2312" w:cs="仿宋_GB2312" w:eastAsia="仿宋_GB2312"/>
                <w:sz w:val="22"/>
              </w:rPr>
              <w:t>质</w:t>
            </w:r>
            <w:r>
              <w:rPr>
                <w:rFonts w:ascii="仿宋_GB2312" w:hAnsi="仿宋_GB2312" w:cs="仿宋_GB2312" w:eastAsia="仿宋_GB2312"/>
                <w:sz w:val="22"/>
              </w:rPr>
              <w:t>量</w:t>
            </w:r>
            <w:r>
              <w:rPr>
                <w:rFonts w:ascii="仿宋_GB2312" w:hAnsi="仿宋_GB2312" w:cs="仿宋_GB2312" w:eastAsia="仿宋_GB2312"/>
                <w:sz w:val="22"/>
              </w:rPr>
              <w:t>评定</w:t>
            </w:r>
            <w:r>
              <w:rPr>
                <w:rFonts w:ascii="仿宋_GB2312" w:hAnsi="仿宋_GB2312" w:cs="仿宋_GB2312" w:eastAsia="仿宋_GB2312"/>
                <w:sz w:val="22"/>
              </w:rPr>
              <w:t>：合格</w:t>
            </w:r>
          </w:p>
          <w:p>
            <w:pPr>
              <w:pStyle w:val="null3"/>
              <w:jc w:val="left"/>
            </w:pPr>
            <w:r>
              <w:rPr>
                <w:rFonts w:ascii="仿宋_GB2312" w:hAnsi="仿宋_GB2312" w:cs="仿宋_GB2312" w:eastAsia="仿宋_GB2312"/>
                <w:sz w:val="22"/>
              </w:rPr>
              <w:t xml:space="preserve">                  竣</w:t>
            </w:r>
            <w:r>
              <w:rPr>
                <w:rFonts w:ascii="仿宋_GB2312" w:hAnsi="仿宋_GB2312" w:cs="仿宋_GB2312" w:eastAsia="仿宋_GB2312"/>
                <w:sz w:val="22"/>
              </w:rPr>
              <w:t>工</w:t>
            </w:r>
            <w:r>
              <w:rPr>
                <w:rFonts w:ascii="仿宋_GB2312" w:hAnsi="仿宋_GB2312" w:cs="仿宋_GB2312" w:eastAsia="仿宋_GB2312"/>
                <w:sz w:val="22"/>
              </w:rPr>
              <w:t>验</w:t>
            </w:r>
            <w:r>
              <w:rPr>
                <w:rFonts w:ascii="仿宋_GB2312" w:hAnsi="仿宋_GB2312" w:cs="仿宋_GB2312" w:eastAsia="仿宋_GB2312"/>
                <w:sz w:val="22"/>
              </w:rPr>
              <w:t>收</w:t>
            </w:r>
            <w:r>
              <w:rPr>
                <w:rFonts w:ascii="仿宋_GB2312" w:hAnsi="仿宋_GB2312" w:cs="仿宋_GB2312" w:eastAsia="仿宋_GB2312"/>
                <w:sz w:val="22"/>
              </w:rPr>
              <w:t>的</w:t>
            </w:r>
            <w:r>
              <w:rPr>
                <w:rFonts w:ascii="仿宋_GB2312" w:hAnsi="仿宋_GB2312" w:cs="仿宋_GB2312" w:eastAsia="仿宋_GB2312"/>
                <w:sz w:val="22"/>
              </w:rPr>
              <w:t>质</w:t>
            </w:r>
            <w:r>
              <w:rPr>
                <w:rFonts w:ascii="仿宋_GB2312" w:hAnsi="仿宋_GB2312" w:cs="仿宋_GB2312" w:eastAsia="仿宋_GB2312"/>
                <w:sz w:val="22"/>
              </w:rPr>
              <w:t>量</w:t>
            </w:r>
            <w:r>
              <w:rPr>
                <w:rFonts w:ascii="仿宋_GB2312" w:hAnsi="仿宋_GB2312" w:cs="仿宋_GB2312" w:eastAsia="仿宋_GB2312"/>
                <w:sz w:val="22"/>
              </w:rPr>
              <w:t>评</w:t>
            </w:r>
            <w:r>
              <w:rPr>
                <w:rFonts w:ascii="仿宋_GB2312" w:hAnsi="仿宋_GB2312" w:cs="仿宋_GB2312" w:eastAsia="仿宋_GB2312"/>
                <w:sz w:val="22"/>
              </w:rPr>
              <w:t>定</w:t>
            </w:r>
            <w:r>
              <w:rPr>
                <w:rFonts w:ascii="仿宋_GB2312" w:hAnsi="仿宋_GB2312" w:cs="仿宋_GB2312" w:eastAsia="仿宋_GB2312"/>
                <w:sz w:val="22"/>
              </w:rPr>
              <w:t>：合格</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2"/>
                <w:color w:val="000000"/>
              </w:rPr>
              <w:t>安全目标：要求安全文明施工，无安全生产责任事故</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2024年度经审计的财务报告（包含审计报告和审计报告中所涉及的财务报表和报表附注），②可提供2024年度供应商完整的全套财务报表（应当包括资产负债表、利润表、现金流量表、所有者权益变动表、附注），③可提供截至响应文件提交截止日六个月内银行出具的资信证明，④供应商注册时间截至响应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供应商合法登记证明</w:t>
            </w:r>
          </w:p>
        </w:tc>
        <w:tc>
          <w:tcPr>
            <w:tcW w:type="dxa" w:w="3322"/>
          </w:tcPr>
          <w:p>
            <w:pPr>
              <w:pStyle w:val="null3"/>
            </w:pPr>
            <w:r>
              <w:rPr>
                <w:rFonts w:ascii="仿宋_GB2312" w:hAnsi="仿宋_GB2312" w:cs="仿宋_GB2312" w:eastAsia="仿宋_GB2312"/>
              </w:rPr>
              <w:t>供应商应为合法注册并具有独立承担民事责任能力的的企业法人、事业法人、其他组织或自然人。企业法人应提供合法有效的标识有统一社会信用代码的营业执照；事业法人应提供事业单位法人证书；其他组织应提供合法登记证明文件；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供应商须具备资质</w:t>
            </w:r>
          </w:p>
        </w:tc>
        <w:tc>
          <w:tcPr>
            <w:tcW w:type="dxa" w:w="3322"/>
          </w:tcPr>
          <w:p>
            <w:pPr>
              <w:pStyle w:val="null3"/>
            </w:pPr>
            <w:r>
              <w:rPr>
                <w:rFonts w:ascii="仿宋_GB2312" w:hAnsi="仿宋_GB2312" w:cs="仿宋_GB2312" w:eastAsia="仿宋_GB2312"/>
              </w:rPr>
              <w:t>供应商须具备建设行政主管部门核发的【公路工程施工总承包】三级及以上资质等级，并具有安全生产许可证且在有效期内，供应商需在项目电子化交易系统中按要求上传相应证明文件并进行电子签章；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法定代表人或授权代表要求</w:t>
            </w:r>
          </w:p>
        </w:tc>
        <w:tc>
          <w:tcPr>
            <w:tcW w:type="dxa" w:w="3322"/>
          </w:tcPr>
          <w:p>
            <w:pPr>
              <w:pStyle w:val="null3"/>
            </w:pPr>
            <w:r>
              <w:rPr>
                <w:rFonts w:ascii="仿宋_GB2312" w:hAnsi="仿宋_GB2312" w:cs="仿宋_GB2312" w:eastAsia="仿宋_GB2312"/>
              </w:rPr>
              <w:t>法定代表人参加开标会议的，须提供本人身份证原件；法定代表人授权他人参加开标会议的，须提供法定代表人授权委托书并提供被授权代表的身份证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具有工程师或以上职称，具有公路工程二级及以上注册建造师资格（不含临时执业资格），并具有交安B类安全考核合格证，无在建工程，无不良记录，社保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项目管理机构组成表 主要人员简历表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供应商须提供《汉中市政府采购供应商资格承诺函》</w:t>
            </w:r>
          </w:p>
        </w:tc>
        <w:tc>
          <w:tcPr>
            <w:tcW w:type="dxa" w:w="3322"/>
          </w:tcPr>
          <w:p>
            <w:pPr>
              <w:pStyle w:val="null3"/>
            </w:pPr>
            <w:r>
              <w:rPr>
                <w:rFonts w:ascii="仿宋_GB2312" w:hAnsi="仿宋_GB2312" w:cs="仿宋_GB2312" w:eastAsia="仿宋_GB2312"/>
              </w:rPr>
              <w:t>供应商应按照汉中市财政局《关于全面推行政府采购供应商基本资格条件承诺制的通知》（汉采办采管〔2024〕20号）文件要求，提供资格承诺函。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项目施工方案</w:t>
            </w:r>
          </w:p>
        </w:tc>
        <w:tc>
          <w:tcPr>
            <w:tcW w:type="dxa" w:w="2492"/>
          </w:tcPr>
          <w:p>
            <w:pPr>
              <w:pStyle w:val="null3"/>
            </w:pPr>
            <w:r>
              <w:rPr>
                <w:rFonts w:ascii="仿宋_GB2312" w:hAnsi="仿宋_GB2312" w:cs="仿宋_GB2312" w:eastAsia="仿宋_GB2312"/>
              </w:rPr>
              <w:t>项目施工方案：磋商小组根据供应商响应文件中针对本项目特点及季节，具有完善的项目施工方案，内容应包含质量目标。安全目标，工期目标、文明施工等内容，进行横向比较赋分。 ①方案全面、科学合理、规范，可行性强，得20-14分； ②方案合理、规范，具有一定实施性，得13.9-7分； ③方案简略，可行性欠佳，得6.9-0.1分； ④不提供不得分。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响应方案.docx</w:t>
            </w:r>
          </w:p>
          <w:p>
            <w:pPr>
              <w:pStyle w:val="null3"/>
            </w:pPr>
            <w:r>
              <w:rPr>
                <w:rFonts w:ascii="仿宋_GB2312" w:hAnsi="仿宋_GB2312" w:cs="仿宋_GB2312" w:eastAsia="仿宋_GB2312"/>
              </w:rPr>
              <w:t>投标人基本情况表.docx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磋商小组根据供应商响应文件中针对本项目工期的进度计划及合理性、可操作性进行横向比较赋分。 ①方案全面、科学合理、规范，可行性强，得10-7分； ②方案合理、规范，具有一定实施性，得6.9-4分； ③方案简略，可行性欠佳，得3.9-0.1分； ④不提供不得分。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磋商小组根据供应商响应文件中针对本项目质量保证措施、管理体系的规划及合理性、可操作性进行横向比较赋分。 ①方案全面、科学合理、规范，可行性强，得10-7分； ②方案合理、规范，具有一定实施性，得6.9-4分； ③方案简略，可行性欠佳，得3.9-0.1分； ④不提供不得分。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供应商人员配备齐全，人员配备一般由项目技术负责人、施工员、质量员、安全 员、材料员等人员组成公司人员每提供一个得2分，不提供不得分，满分5分。 （需提供人员身份证、缴纳社保证明、毕业证、职称证、在有效期内的资格证书等）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供应商提供2022年至今完成的类似项目业绩，每提供一份得2.5分，此项最高得5分；未提供不得分。 注：业绩须是供应商完成的类似项目业绩，以成交（中标）通知书或合同或协议书为准（在磋商文件相应部分提供证明文件复印件并加盖供应商公章）。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施工安全防护措施</w:t>
            </w:r>
          </w:p>
        </w:tc>
        <w:tc>
          <w:tcPr>
            <w:tcW w:type="dxa" w:w="2492"/>
          </w:tcPr>
          <w:p>
            <w:pPr>
              <w:pStyle w:val="null3"/>
            </w:pPr>
            <w:r>
              <w:rPr>
                <w:rFonts w:ascii="仿宋_GB2312" w:hAnsi="仿宋_GB2312" w:cs="仿宋_GB2312" w:eastAsia="仿宋_GB2312"/>
              </w:rPr>
              <w:t>磋商小组根据供应商响应文件中针对本项目施工安全措施及保护措施、管理体系的规划及合理性、可操作性进行横向比较赋分。 ①方案全面、科学合理、规范，可行性强，得10-7分； ②方案合理、规范，具有一定实施性，得6.9-4分； ③方案简略，可行性欠佳，得3.9-0.1分； ④不提供不得分。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拟投入的机械设备</w:t>
            </w:r>
          </w:p>
        </w:tc>
        <w:tc>
          <w:tcPr>
            <w:tcW w:type="dxa" w:w="2492"/>
          </w:tcPr>
          <w:p>
            <w:pPr>
              <w:pStyle w:val="null3"/>
            </w:pPr>
            <w:r>
              <w:rPr>
                <w:rFonts w:ascii="仿宋_GB2312" w:hAnsi="仿宋_GB2312" w:cs="仿宋_GB2312" w:eastAsia="仿宋_GB2312"/>
              </w:rPr>
              <w:t>磋商小组根据供应商响应文件中针对本项目拟投入主要工程设备配置情况进行赋分。 ①拟投入主要工程设备配置齐全，合理，完全满足项目需求，得5-3分， ②配备一般，部分满足项目需求得2.9-0.1分， ③不提供不得分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拟投入机械设备表.docx</w:t>
            </w:r>
          </w:p>
        </w:tc>
      </w:tr>
      <w:tr>
        <w:tc>
          <w:tcPr>
            <w:tcW w:type="dxa" w:w="831"/>
            <w:vMerge/>
          </w:tcPr>
          <w:p/>
        </w:tc>
        <w:tc>
          <w:tcPr>
            <w:tcW w:type="dxa" w:w="1661"/>
          </w:tcPr>
          <w:p>
            <w:pPr>
              <w:pStyle w:val="null3"/>
            </w:pPr>
            <w:r>
              <w:rPr>
                <w:rFonts w:ascii="仿宋_GB2312" w:hAnsi="仿宋_GB2312" w:cs="仿宋_GB2312" w:eastAsia="仿宋_GB2312"/>
              </w:rPr>
              <w:t>售后保修服务及承诺</w:t>
            </w:r>
          </w:p>
        </w:tc>
        <w:tc>
          <w:tcPr>
            <w:tcW w:type="dxa" w:w="2492"/>
          </w:tcPr>
          <w:p>
            <w:pPr>
              <w:pStyle w:val="null3"/>
            </w:pPr>
            <w:r>
              <w:rPr>
                <w:rFonts w:ascii="仿宋_GB2312" w:hAnsi="仿宋_GB2312" w:cs="仿宋_GB2312" w:eastAsia="仿宋_GB2312"/>
              </w:rPr>
              <w:t>磋商小组根据供应商响应文件中针对本项目售后保修服务进行横向比较赋分。 ①售后保修服务措施贴合项目实际，满足采购人及项日需求，保修承诺明确得5--3 ②售后保修服务内容空洞，措施不明确，承诺不明确，不能完全满足采购人及项目需求[2.9-0.1]。 ③不提供不得分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 磋商报价得分=（磋商基准价/磋商报价）×价格权值（即30%）×100 注：1、磋商小组三分之二以上成员认为某报价有低于成本价嫌疑的，涉嫌不正当竞争的，为无效报价。 2、本项目为专门面向中小企业,不再执行价格评审优惠的扶持政策。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详见附件：投标人基本情况表.docx</w:t>
      </w:r>
    </w:p>
    <w:p>
      <w:pPr>
        <w:pStyle w:val="null3"/>
        <w:ind w:firstLine="960"/>
      </w:pPr>
      <w:r>
        <w:rPr>
          <w:rFonts w:ascii="仿宋_GB2312" w:hAnsi="仿宋_GB2312" w:cs="仿宋_GB2312" w:eastAsia="仿宋_GB2312"/>
        </w:rPr>
        <w:t>详见附件：拟投入机械设备表.docx</w:t>
      </w:r>
    </w:p>
    <w:p>
      <w:pPr>
        <w:pStyle w:val="null3"/>
        <w:ind w:firstLine="960"/>
      </w:pPr>
      <w:r>
        <w:rPr>
          <w:rFonts w:ascii="仿宋_GB2312" w:hAnsi="仿宋_GB2312" w:cs="仿宋_GB2312" w:eastAsia="仿宋_GB2312"/>
        </w:rPr>
        <w:t>详见附件：响应方案.docx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详见附件：合同附件.docx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