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版本号：JXRZ-HC-2025-07120250625001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新集中学教学楼安全隐患整改及宿舍改造项目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JXRZ-HC-2025-071</w:t>
      </w:r>
      <w:r>
        <w:br/>
      </w:r>
      <w:r>
        <w:br/>
      </w:r>
      <w:r>
        <w:br/>
      </w:r>
    </w:p>
    <w:p>
      <w:pPr>
        <w:pStyle w:val="null3"/>
        <w:jc w:val="center"/>
        <w:outlineLvl w:val="2"/>
      </w:pPr>
      <w:r>
        <w:rPr>
          <w:rFonts w:ascii="仿宋_GB2312" w:hAnsi="仿宋_GB2312" w:cs="仿宋_GB2312" w:eastAsia="仿宋_GB2312"/>
          <w:sz w:val="28"/>
          <w:b/>
        </w:rPr>
        <w:t>汉中市南郑区新集中学</w:t>
      </w:r>
    </w:p>
    <w:p>
      <w:pPr>
        <w:pStyle w:val="null3"/>
        <w:jc w:val="center"/>
        <w:outlineLvl w:val="2"/>
      </w:pPr>
      <w:r>
        <w:rPr>
          <w:rFonts w:ascii="仿宋_GB2312" w:hAnsi="仿宋_GB2312" w:cs="仿宋_GB2312" w:eastAsia="仿宋_GB2312"/>
          <w:sz w:val="28"/>
          <w:b/>
        </w:rPr>
        <w:t>陕西锦鑫睿泽项目管理有限公司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陕西锦鑫睿泽项目管理有限公司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汉中市南郑区新集中学</w:t>
      </w:r>
      <w:r>
        <w:rPr>
          <w:rFonts w:ascii="仿宋_GB2312" w:hAnsi="仿宋_GB2312" w:cs="仿宋_GB2312" w:eastAsia="仿宋_GB2312"/>
        </w:rPr>
        <w:t>委托，拟对</w:t>
      </w:r>
      <w:r>
        <w:rPr>
          <w:rFonts w:ascii="仿宋_GB2312" w:hAnsi="仿宋_GB2312" w:cs="仿宋_GB2312" w:eastAsia="仿宋_GB2312"/>
        </w:rPr>
        <w:t>新集中学教学楼安全隐患整改及宿舍改造项目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JXRZ-HC-2025-071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新集中学教学楼安全隐患整改及宿舍改造项目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建设内容为女生宿舍改造、男生宿舍改造、教学楼改造等，女生宿舍楼改造为3-5层卫生间改造，卫生间墙面贴瓷砖，顶棚做铝扣板吊顶，石材洗漱台安装，宿舍阳台增加石材洗漱台及安装成品脸盆架;男生宿舍改造为2-4层改造，卫生间墙面瓷砖修补至吊顶，卫生间顶棚做铝扣板吊顶，石材洗台安装，宿舍楼正面喷真石漆，走廊刷乳胶漆，室内墙面及天棚刮干粉漆；教学楼改造主要为教学楼地面(含走廊及楼梯间)刷环氧地坪漆、走廊墙面及天棚刷乳胶漆、室内墙面及天棚喷刷干粉漆、三楼走廊栏板维修改造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采购包1（新集中学教学楼安全隐患整改及宿舍改造项目）：属于专门面向中小企业采购。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有效的主体资格证明：供应商应是独立承担民事责任能力的法人、其他组织或自然人，法人、其他组织须提供合法有效的营业执照（或事业单位法人证书）等证明资料，自然人须提供身份证明（原件或加盖公章的复印件）。</w:t>
      </w:r>
    </w:p>
    <w:p>
      <w:pPr>
        <w:pStyle w:val="null3"/>
      </w:pPr>
      <w:r>
        <w:rPr>
          <w:rFonts w:ascii="仿宋_GB2312" w:hAnsi="仿宋_GB2312" w:cs="仿宋_GB2312" w:eastAsia="仿宋_GB2312"/>
        </w:rPr>
        <w:t>2、授权代表身份证明：授权代表身份证明：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企业资质及项目经理资质要求：企业资质及项目经理资质要求：供应商具有行政主管部门核发的建筑工程施工总承包三级（含三级）及以上资质，且具有效的安全生产许可证；拟派项目经理须具备建筑工程专业二级（含二级）以上注册建造师资格和安全生产考核合格B证，且无在建项目。</w:t>
      </w:r>
    </w:p>
    <w:p>
      <w:pPr>
        <w:pStyle w:val="null3"/>
      </w:pPr>
      <w:r>
        <w:rPr>
          <w:rFonts w:ascii="仿宋_GB2312" w:hAnsi="仿宋_GB2312" w:cs="仿宋_GB2312" w:eastAsia="仿宋_GB2312"/>
        </w:rPr>
        <w:t>4、汉中市政府采购供应商资格承诺函：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5、非联合体承诺：非联合体承诺：供应商应提供《非联合体不分包磋商声明》，视为独立磋商，不分包。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汉中市南郑区新集中学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陕西省汉中市南郑区新集镇北环路55号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南郑县新集中学经办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13571613334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陕西锦鑫睿泽项目管理有限公司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汉中市汉台区天汉文化产业园A6-A7号楼二楼D-07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17709165288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开户名称：陕西锦鑫睿泽项目管理有限公司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由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2、采购代理服务费的缴纳方式：在领取《成交通知书》时向采购代理机构一次性全额缴纳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汉中市南郑区新集中学</w:t>
      </w:r>
      <w:r>
        <w:rPr>
          <w:rFonts w:ascii="仿宋_GB2312" w:hAnsi="仿宋_GB2312" w:cs="仿宋_GB2312" w:eastAsia="仿宋_GB2312"/>
        </w:rPr>
        <w:t>和</w:t>
      </w:r>
      <w:r>
        <w:rPr>
          <w:rFonts w:ascii="仿宋_GB2312" w:hAnsi="仿宋_GB2312" w:cs="仿宋_GB2312" w:eastAsia="仿宋_GB2312"/>
        </w:rPr>
        <w:t>陕西锦鑫睿泽项目管理有限公司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汉中市南郑区新集中学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陕西锦鑫睿泽项目管理有限公司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汉中市南郑区新集中学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陕西锦鑫睿泽项目管理有限公司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联系人：杨女士</w:t>
      </w:r>
    </w:p>
    <w:p>
      <w:pPr>
        <w:pStyle w:val="null3"/>
      </w:pPr>
      <w:r>
        <w:rPr>
          <w:rFonts w:ascii="仿宋_GB2312" w:hAnsi="仿宋_GB2312" w:cs="仿宋_GB2312" w:eastAsia="仿宋_GB2312"/>
        </w:rPr>
        <w:t>联系电话：15997537611</w:t>
      </w:r>
    </w:p>
    <w:p>
      <w:pPr>
        <w:pStyle w:val="null3"/>
      </w:pPr>
      <w:r>
        <w:rPr>
          <w:rFonts w:ascii="仿宋_GB2312" w:hAnsi="仿宋_GB2312" w:cs="仿宋_GB2312" w:eastAsia="仿宋_GB2312"/>
        </w:rPr>
        <w:t>地址：汉中市汉台区天汉文化产业园A6-A7号楼二楼D-07</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851,704.21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新集中学教学楼安全隐患整改及宿舍改造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标的名称：新集中学教学楼安全隐患整改及宿舍改造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一、项目概况</w:t>
            </w:r>
          </w:p>
          <w:p>
            <w:pPr>
              <w:pStyle w:val="null3"/>
              <w:jc w:val="both"/>
            </w:pPr>
            <w:r>
              <w:rPr>
                <w:rFonts w:ascii="仿宋_GB2312" w:hAnsi="仿宋_GB2312" w:cs="仿宋_GB2312" w:eastAsia="仿宋_GB2312"/>
                <w:sz w:val="21"/>
              </w:rPr>
              <w:t xml:space="preserve">  项目建设内容为女生宿舍改造、男生宿舍改造、教学楼改造等，女生宿舍楼改造为</w:t>
            </w:r>
            <w:r>
              <w:rPr>
                <w:rFonts w:ascii="仿宋_GB2312" w:hAnsi="仿宋_GB2312" w:cs="仿宋_GB2312" w:eastAsia="仿宋_GB2312"/>
                <w:sz w:val="21"/>
              </w:rPr>
              <w:t>3-5层卫生间改造，卫生间墙面贴瓷砖，顶棚做铝扣板吊顶，石材洗漱台安装，宿舍阳台增加石材洗漱台及安装成品脸盆架;男生宿舍改造为2-4层改造，卫生间墙面瓷砖修补至吊顶，卫生间顶棚做铝扣板吊顶，石材洗台安装，宿舍楼正面喷真石漆，走廊刷乳胶漆，室内墙面及天棚刮干粉漆；教学楼改造主要为教学楼地面(含走廊及楼梯间)刷环氧地坪漆、走廊墙面及天棚刷乳胶漆、室内墙面及天棚喷刷干粉漆、三楼走廊栏板维修改造等。</w:t>
            </w:r>
          </w:p>
          <w:p>
            <w:pPr>
              <w:pStyle w:val="null3"/>
              <w:jc w:val="both"/>
            </w:pPr>
            <w:r>
              <w:rPr>
                <w:rFonts w:ascii="仿宋_GB2312" w:hAnsi="仿宋_GB2312" w:cs="仿宋_GB2312" w:eastAsia="仿宋_GB2312"/>
                <w:sz w:val="21"/>
              </w:rPr>
              <w:t>二、编制依据</w:t>
            </w:r>
          </w:p>
          <w:p>
            <w:pPr>
              <w:pStyle w:val="null3"/>
              <w:jc w:val="both"/>
            </w:pPr>
            <w:r>
              <w:rPr>
                <w:rFonts w:ascii="仿宋_GB2312" w:hAnsi="仿宋_GB2312" w:cs="仿宋_GB2312" w:eastAsia="仿宋_GB2312"/>
                <w:sz w:val="21"/>
              </w:rPr>
              <w:t>1.2009“陕西省建设工程工程量清单计价规则”；</w:t>
            </w:r>
          </w:p>
          <w:p>
            <w:pPr>
              <w:pStyle w:val="null3"/>
              <w:jc w:val="both"/>
            </w:pPr>
            <w:r>
              <w:rPr>
                <w:rFonts w:ascii="仿宋_GB2312" w:hAnsi="仿宋_GB2312" w:cs="仿宋_GB2312" w:eastAsia="仿宋_GB2312"/>
                <w:sz w:val="21"/>
              </w:rPr>
              <w:t>2.《陕西省建筑装饰、安装、市政、园林绿化工程消耗量定额(2004)》、及消耗量补充定额，陕西省建设工程(2009)价目表及配套费用定额、相关计价文件；</w:t>
            </w:r>
          </w:p>
          <w:p>
            <w:pPr>
              <w:pStyle w:val="null3"/>
              <w:jc w:val="both"/>
            </w:pPr>
            <w:r>
              <w:rPr>
                <w:rFonts w:ascii="仿宋_GB2312" w:hAnsi="仿宋_GB2312" w:cs="仿宋_GB2312" w:eastAsia="仿宋_GB2312"/>
                <w:sz w:val="21"/>
              </w:rPr>
              <w:t>3.陕建发(2021)1097号文“关于调整房屋建筑和市政基础设施工程工程量清单计价综合人工单价的通知”；</w:t>
            </w:r>
          </w:p>
          <w:p>
            <w:pPr>
              <w:pStyle w:val="null3"/>
              <w:jc w:val="both"/>
            </w:pPr>
            <w:r>
              <w:rPr>
                <w:rFonts w:ascii="仿宋_GB2312" w:hAnsi="仿宋_GB2312" w:cs="仿宋_GB2312" w:eastAsia="仿宋_GB2312"/>
                <w:sz w:val="21"/>
              </w:rPr>
              <w:t>4.陕建发(2019)45号文“关于调整我省建设工程计价依据的通知”；</w:t>
            </w:r>
          </w:p>
          <w:p>
            <w:pPr>
              <w:pStyle w:val="null3"/>
              <w:jc w:val="both"/>
            </w:pPr>
            <w:r>
              <w:rPr>
                <w:rFonts w:ascii="仿宋_GB2312" w:hAnsi="仿宋_GB2312" w:cs="仿宋_GB2312" w:eastAsia="仿宋_GB2312"/>
                <w:sz w:val="21"/>
              </w:rPr>
              <w:t>5.陕建发(2017)270号文“关于增加建设工程扬尘治理专项措施费及综合人工单价调整的通知”；</w:t>
            </w:r>
          </w:p>
          <w:p>
            <w:pPr>
              <w:pStyle w:val="null3"/>
              <w:jc w:val="both"/>
            </w:pPr>
            <w:r>
              <w:rPr>
                <w:rFonts w:ascii="仿宋_GB2312" w:hAnsi="仿宋_GB2312" w:cs="仿宋_GB2312" w:eastAsia="仿宋_GB2312"/>
                <w:sz w:val="21"/>
              </w:rPr>
              <w:t>6.陕建发(2019)1246号，《关于落实我省建筑工程实名制管理计价依据的通知》；</w:t>
            </w:r>
          </w:p>
          <w:p>
            <w:pPr>
              <w:pStyle w:val="null3"/>
              <w:jc w:val="both"/>
            </w:pPr>
            <w:r>
              <w:rPr>
                <w:rFonts w:ascii="仿宋_GB2312" w:hAnsi="仿宋_GB2312" w:cs="仿宋_GB2312" w:eastAsia="仿宋_GB2312"/>
                <w:sz w:val="21"/>
              </w:rPr>
              <w:t>7.陕建发(2020)1097号文件《关于建筑施工安全生产责任保险费用计价的通知》；</w:t>
            </w:r>
          </w:p>
          <w:p>
            <w:pPr>
              <w:pStyle w:val="null3"/>
              <w:jc w:val="both"/>
            </w:pPr>
            <w:r>
              <w:rPr>
                <w:rFonts w:ascii="仿宋_GB2312" w:hAnsi="仿宋_GB2312" w:cs="仿宋_GB2312" w:eastAsia="仿宋_GB2312"/>
                <w:sz w:val="21"/>
              </w:rPr>
              <w:t>8.主要建筑材料价格按照市造价办发布的《汉中建设工程造价信息》2025 年第4期信息价计取。</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计价软件：广联达计价软件</w:t>
            </w:r>
            <w:r>
              <w:rPr>
                <w:rFonts w:ascii="仿宋_GB2312" w:hAnsi="仿宋_GB2312" w:cs="仿宋_GB2312" w:eastAsia="仿宋_GB2312"/>
                <w:sz w:val="21"/>
              </w:rPr>
              <w:t>6.0。</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达到国家现行有关施工质量验收规范“合格”标准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本项目工期：30日历天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有效的主体资格证明：供应商应是独立承担民事责任能力的法人、其他组织或自然人，法人、其他组织须提供合法有效的营业执照（或事业单位法人证书）等证明资料，自然人须提供身份证明（原件或加盖公章的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授权代表身份证明：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企业资质及项目经理资质要求</w:t>
            </w:r>
          </w:p>
        </w:tc>
        <w:tc>
          <w:tcPr>
            <w:tcW w:type="dxa" w:w="3322"/>
          </w:tcPr>
          <w:p>
            <w:pPr>
              <w:pStyle w:val="null3"/>
            </w:pPr>
            <w:r>
              <w:rPr>
                <w:rFonts w:ascii="仿宋_GB2312" w:hAnsi="仿宋_GB2312" w:cs="仿宋_GB2312" w:eastAsia="仿宋_GB2312"/>
              </w:rPr>
              <w:t>企业资质及项目经理资质要求：供应商具有行政主管部门核发的建筑工程施工总承包三级（含三级）及以上资质，且具有效的安全生产许可证；拟派项目经理须具备建筑工程专业二级（含二级）以上注册建造师资格和安全生产考核合格B证，且无在建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非联合体承诺：供应商应提供《非联合体不分包磋商声明》，视为独立磋商，不分包。</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质量目标明确，措施有力者，得12-8.1分；质量目标较明确，措施较有力者，得8.0-4.1分；质量目标基本明确，措施基本有力者，得4.0-1.0分；无此项不得分。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施工方案、进度目标及措施</w:t>
            </w:r>
          </w:p>
        </w:tc>
        <w:tc>
          <w:tcPr>
            <w:tcW w:type="dxa" w:w="2492"/>
          </w:tcPr>
          <w:p>
            <w:pPr>
              <w:pStyle w:val="null3"/>
            </w:pPr>
            <w:r>
              <w:rPr>
                <w:rFonts w:ascii="仿宋_GB2312" w:hAnsi="仿宋_GB2312" w:cs="仿宋_GB2312" w:eastAsia="仿宋_GB2312"/>
              </w:rPr>
              <w:t>方案完整可行、进度目标明确，措施有力者，得12.0-8.1分；方案较完整可行、进度目标较明确，措施较有力者，得8.0-4.1分；方案基本完整、进度目标基本明确，措施基本有力者，得4.0-1.0分；无此项不得分。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方案可行、措施有力者，得12.0-8.1分；方案较可行、措施较有力者，得8.0-4.1分；方案基本可行、措施基本有力者得4.0-1.0分；无此项不得分。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文明施工措施及环境保障措施</w:t>
            </w:r>
          </w:p>
        </w:tc>
        <w:tc>
          <w:tcPr>
            <w:tcW w:type="dxa" w:w="2492"/>
          </w:tcPr>
          <w:p>
            <w:pPr>
              <w:pStyle w:val="null3"/>
            </w:pPr>
            <w:r>
              <w:rPr>
                <w:rFonts w:ascii="仿宋_GB2312" w:hAnsi="仿宋_GB2312" w:cs="仿宋_GB2312" w:eastAsia="仿宋_GB2312"/>
              </w:rPr>
              <w:t>方案可行、措施有力者，得8.0-6.1分；方案较可行、措施较有力者，得6.0-3.1分；方案基本可行、措施基本有力者得3.0-1.0分，无此项不得分。此外有承诺提供经认证的节能、环境标志产品的加1.0分。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方案可行、措施有力者，得9.0-6.1分；方案较可行、措施较有力者，得6.0-3.1分；方案基本可行、措施基本有力者得3.0-1.0分，无此项不得分。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售后保修服务措施</w:t>
            </w:r>
          </w:p>
        </w:tc>
        <w:tc>
          <w:tcPr>
            <w:tcW w:type="dxa" w:w="2492"/>
          </w:tcPr>
          <w:p>
            <w:pPr>
              <w:pStyle w:val="null3"/>
            </w:pPr>
            <w:r>
              <w:rPr>
                <w:rFonts w:ascii="仿宋_GB2312" w:hAnsi="仿宋_GB2312" w:cs="仿宋_GB2312" w:eastAsia="仿宋_GB2312"/>
              </w:rPr>
              <w:t>贴合项目实际，满足采购人及项目需求，保修承诺明确[6.0-3.1]；售后保修服务内容空洞，措施不明确，承诺不明确，不能完全满足采购人及项目需求[3.0-1.0]，无此项不得分。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业绩评分</w:t>
            </w:r>
          </w:p>
        </w:tc>
        <w:tc>
          <w:tcPr>
            <w:tcW w:type="dxa" w:w="2492"/>
          </w:tcPr>
          <w:p>
            <w:pPr>
              <w:pStyle w:val="null3"/>
            </w:pPr>
            <w:r>
              <w:rPr>
                <w:rFonts w:ascii="仿宋_GB2312" w:hAnsi="仿宋_GB2312" w:cs="仿宋_GB2312" w:eastAsia="仿宋_GB2312"/>
              </w:rPr>
              <w:t>供应商提供2022年至今完成的类似项目（项目业绩是指与采购工程的结构形式、使用功能、建设规模相同或相近的项目）业绩，每提供一份得2分，此项最高得4分；注：业绩须是供应商完成的同类项目，以成交（中标）通知书、合同或协议书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拟派人员情况</w:t>
            </w:r>
          </w:p>
        </w:tc>
        <w:tc>
          <w:tcPr>
            <w:tcW w:type="dxa" w:w="2492"/>
          </w:tcPr>
          <w:p>
            <w:pPr>
              <w:pStyle w:val="null3"/>
            </w:pPr>
            <w:r>
              <w:rPr>
                <w:rFonts w:ascii="仿宋_GB2312" w:hAnsi="仿宋_GB2312" w:cs="仿宋_GB2312" w:eastAsia="仿宋_GB2312"/>
              </w:rPr>
              <w:t>提供完善、合理、专业的团队人员，根据供应商提供人员的有效证件、业绩等证明材料（0-6分）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2、以满足本次竞争性磋商文件要求的最低报价为评审基准价，其价格为满分； 3、投标供应商报价得分=（评审基准价/报价）×30。（本项目专门面向中小企业，所有供应商均不享受折扣）。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