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版本号：ZCBN-南郑县-2025-0023720250627001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南郑区国民经济和社会发展第十五个五年规划纲要编制项目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ZCBN-南郑县-2025-00237</w:t>
      </w:r>
      <w:r>
        <w:br/>
      </w:r>
      <w:r>
        <w:br/>
      </w:r>
      <w:r>
        <w:br/>
      </w:r>
    </w:p>
    <w:p>
      <w:pPr>
        <w:pStyle w:val="null3"/>
        <w:jc w:val="center"/>
        <w:outlineLvl w:val="2"/>
      </w:pPr>
      <w:r>
        <w:rPr>
          <w:rFonts w:ascii="仿宋_GB2312" w:hAnsi="仿宋_GB2312" w:cs="仿宋_GB2312" w:eastAsia="仿宋_GB2312"/>
          <w:sz w:val="28"/>
          <w:b/>
        </w:rPr>
        <w:t>汉中市南郑区发展和改革局</w:t>
      </w:r>
    </w:p>
    <w:p>
      <w:pPr>
        <w:pStyle w:val="null3"/>
        <w:jc w:val="center"/>
        <w:outlineLvl w:val="2"/>
      </w:pPr>
      <w:r>
        <w:rPr>
          <w:rFonts w:ascii="仿宋_GB2312" w:hAnsi="仿宋_GB2312" w:cs="仿宋_GB2312" w:eastAsia="仿宋_GB2312"/>
          <w:sz w:val="28"/>
          <w:b/>
        </w:rPr>
        <w:t>诚信佳项目管理有限责任公司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诚信佳项目管理有限责任公司</w:t>
      </w:r>
      <w:r>
        <w:rPr>
          <w:rFonts w:ascii="仿宋_GB2312" w:hAnsi="仿宋_GB2312" w:cs="仿宋_GB2312" w:eastAsia="仿宋_GB2312"/>
        </w:rPr>
        <w:t>（以下简称“代理机构”）受</w:t>
      </w:r>
      <w:r>
        <w:rPr>
          <w:rFonts w:ascii="仿宋_GB2312" w:hAnsi="仿宋_GB2312" w:cs="仿宋_GB2312" w:eastAsia="仿宋_GB2312"/>
        </w:rPr>
        <w:t>汉中市南郑区发展和改革局</w:t>
      </w:r>
      <w:r>
        <w:rPr>
          <w:rFonts w:ascii="仿宋_GB2312" w:hAnsi="仿宋_GB2312" w:cs="仿宋_GB2312" w:eastAsia="仿宋_GB2312"/>
        </w:rPr>
        <w:t>委托，拟对</w:t>
      </w:r>
      <w:r>
        <w:rPr>
          <w:rFonts w:ascii="仿宋_GB2312" w:hAnsi="仿宋_GB2312" w:cs="仿宋_GB2312" w:eastAsia="仿宋_GB2312"/>
        </w:rPr>
        <w:t>南郑区国民经济和社会发展第十五个五年规划纲要编制项目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ZCBN-南郑县-2025-00237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南郑区国民经济和社会发展第十五个五年规划纲要编制项目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围绕中央和省委、省政府、市委、市政府工作部署，结合南郑区经济发展实质，重点绕“十五五”时期南郑区发展基础、发展形势开展调查、讨论和研究，编制南郑区国民经济和社会发展第十五个五年规划纲要，对南郑区国民经济和社会发展的重点领域、重大问题进行深入研究，研判“十五五”时期面临的发展形势，提出“十五五”时期全区经济社会发展的总体思路、发展目标、重点任务，引领南郑区经济和社会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采购包1（南郑区国民经济和社会发展第十五个五年规划纲要编制项目）：属于专门面向中小企业采购。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法定代表人或委托代理人身份证明：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资格承诺函：供应商须具有良好的商业信誉和健全的财务会计制度、具有履行合同所必需的设备和专业技术能力、具有依法缴纳税收和社会保障资金的良好记录，以及参加本项目采购活动前三年内在经营活动中无重大违法活动记录，供应商须提供《汉中市政府采购供应商资格承诺函》</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汉中市南郑区发展和改革局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南郑区西大街24号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汉中市南郑区发展和改革局经办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0916-2817107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诚信佳项目管理有限责任公司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汉中市汉台区汉中路街道海洋城商业街5号楼4层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18609162678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开户名称：诚信佳项目管理有限责任公司汉中分公司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银行账号：2706012401201000013558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招标代理服务费以中标价为基数计算，按差额定率累进法计算收取。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汉中市南郑区发展和改革局</w:t>
      </w:r>
      <w:r>
        <w:rPr>
          <w:rFonts w:ascii="仿宋_GB2312" w:hAnsi="仿宋_GB2312" w:cs="仿宋_GB2312" w:eastAsia="仿宋_GB2312"/>
        </w:rPr>
        <w:t>和</w:t>
      </w:r>
      <w:r>
        <w:rPr>
          <w:rFonts w:ascii="仿宋_GB2312" w:hAnsi="仿宋_GB2312" w:cs="仿宋_GB2312" w:eastAsia="仿宋_GB2312"/>
        </w:rPr>
        <w:t>诚信佳项目管理有限责任公司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汉中市南郑区发展和改革局</w:t>
      </w:r>
      <w:r>
        <w:rPr>
          <w:rFonts w:ascii="仿宋_GB2312" w:hAnsi="仿宋_GB2312" w:cs="仿宋_GB2312" w:eastAsia="仿宋_GB2312"/>
        </w:rPr>
        <w:t>负责解释。除上述磋商文件内容，其他内容由</w:t>
      </w:r>
      <w:r>
        <w:rPr>
          <w:rFonts w:ascii="仿宋_GB2312" w:hAnsi="仿宋_GB2312" w:cs="仿宋_GB2312" w:eastAsia="仿宋_GB2312"/>
        </w:rPr>
        <w:t>诚信佳项目管理有限责任公司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汉中市南郑区发展和改革局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诚信佳项目管理有限责任公司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满足国家、行业相关规定、规范，并通过最终审查，经最终审定部门审定和批复印发。</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联系人：晏工</w:t>
      </w:r>
    </w:p>
    <w:p>
      <w:pPr>
        <w:pStyle w:val="null3"/>
      </w:pPr>
      <w:r>
        <w:rPr>
          <w:rFonts w:ascii="仿宋_GB2312" w:hAnsi="仿宋_GB2312" w:cs="仿宋_GB2312" w:eastAsia="仿宋_GB2312"/>
        </w:rPr>
        <w:t>联系电话：18609162678</w:t>
      </w:r>
    </w:p>
    <w:p>
      <w:pPr>
        <w:pStyle w:val="null3"/>
      </w:pPr>
      <w:r>
        <w:rPr>
          <w:rFonts w:ascii="仿宋_GB2312" w:hAnsi="仿宋_GB2312" w:cs="仿宋_GB2312" w:eastAsia="仿宋_GB2312"/>
        </w:rPr>
        <w:t>地址：汉中市汉台区汉中路街道海洋城商业街5号楼4层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围绕中央和省委、省政府、市委、市政府工作部署，结合南郑区经济发展实质，重点围绕“十五五”时期南郑区发展基础、发展形势开展调查、讨论和研究，编制南郑区国民经济和社会发展第十五个五年规划纲要，对南郑区国民经济和社会发展的重点领域、重大问题进行深入研究，研判“十五五”时期面临的发展形势，提出“十五五”时期全区经济社会发展的总体思路、发展目标、重点任务，引领南郑区经济和社会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南郑区国民经济和社会发展第十五个五年规划纲要编制项目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标的名称：南郑区国民经济和社会发展第十五个五年规划纲要编制项目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规划内容要求：需对</w:t>
            </w:r>
            <w:r>
              <w:rPr>
                <w:rFonts w:ascii="仿宋_GB2312" w:hAnsi="仿宋_GB2312" w:cs="仿宋_GB2312" w:eastAsia="仿宋_GB2312"/>
                <w:sz w:val="28"/>
              </w:rPr>
              <w:t>“十四五”规划执行情况进行全面评估</w:t>
            </w:r>
            <w:r>
              <w:rPr>
                <w:rFonts w:ascii="仿宋_GB2312" w:hAnsi="仿宋_GB2312" w:cs="仿宋_GB2312" w:eastAsia="仿宋_GB2312"/>
                <w:sz w:val="28"/>
              </w:rPr>
              <w:t>，</w:t>
            </w:r>
            <w:r>
              <w:rPr>
                <w:rFonts w:ascii="仿宋_GB2312" w:hAnsi="仿宋_GB2312" w:cs="仿宋_GB2312" w:eastAsia="仿宋_GB2312"/>
                <w:sz w:val="28"/>
              </w:rPr>
              <w:t>总结</w:t>
            </w:r>
            <w:r>
              <w:rPr>
                <w:rFonts w:ascii="仿宋_GB2312" w:hAnsi="仿宋_GB2312" w:cs="仿宋_GB2312" w:eastAsia="仿宋_GB2312"/>
                <w:sz w:val="28"/>
              </w:rPr>
              <w:t>“十四五”时期经济社会发展的主要成效，分析存在的突出问题。同时，分析“十五五”时期南郑区经济社会发展形势，提出南郑区在国家战略布局、陕西省发展大局、汉中市战略规划中的定位，南郑区规划重点发展方向，产业发展路径，经济潜在增长点</w:t>
            </w:r>
            <w:r>
              <w:rPr>
                <w:rFonts w:ascii="仿宋_GB2312" w:hAnsi="仿宋_GB2312" w:cs="仿宋_GB2312" w:eastAsia="仿宋_GB2312"/>
                <w:sz w:val="28"/>
              </w:rPr>
              <w:t>等</w:t>
            </w:r>
            <w:r>
              <w:rPr>
                <w:rFonts w:ascii="仿宋_GB2312" w:hAnsi="仿宋_GB2312" w:cs="仿宋_GB2312" w:eastAsia="仿宋_GB2312"/>
                <w:sz w:val="28"/>
              </w:rPr>
              <w:t>主要举措及保障措施</w:t>
            </w:r>
            <w:r>
              <w:rPr>
                <w:rFonts w:ascii="仿宋_GB2312" w:hAnsi="仿宋_GB2312" w:cs="仿宋_GB2312" w:eastAsia="仿宋_GB2312"/>
                <w:sz w:val="28"/>
              </w:rPr>
              <w:t>。</w:t>
            </w:r>
            <w:r>
              <w:rPr>
                <w:rFonts w:ascii="仿宋_GB2312" w:hAnsi="仿宋_GB2312" w:cs="仿宋_GB2312" w:eastAsia="仿宋_GB2312"/>
                <w:sz w:val="28"/>
              </w:rPr>
              <w:t>做好南郑区</w:t>
            </w:r>
            <w:r>
              <w:rPr>
                <w:rFonts w:ascii="仿宋_GB2312" w:hAnsi="仿宋_GB2312" w:cs="仿宋_GB2312" w:eastAsia="仿宋_GB2312"/>
                <w:sz w:val="28"/>
              </w:rPr>
              <w:t>“十五五”规划《纲要》编制期间调研、培训、研讨等相关服务保障工作。</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成果质量要求：成果文件应符合国家有关标准和竞争性</w:t>
            </w:r>
            <w:r>
              <w:rPr>
                <w:rFonts w:ascii="仿宋_GB2312" w:hAnsi="仿宋_GB2312" w:cs="仿宋_GB2312" w:eastAsia="仿宋_GB2312"/>
                <w:sz w:val="28"/>
              </w:rPr>
              <w:t>谈判</w:t>
            </w:r>
            <w:r>
              <w:rPr>
                <w:rFonts w:ascii="仿宋_GB2312" w:hAnsi="仿宋_GB2312" w:cs="仿宋_GB2312" w:eastAsia="仿宋_GB2312"/>
                <w:sz w:val="28"/>
              </w:rPr>
              <w:t>文件的要求，内容清晰完整、观点鲜明，指标体系设置合理，文字表达准确简练，相关图纸内容全面、准确，并能按法定程序完成报批。</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项目团队要求：供应商需针对项目配备一定数量的专业人员，</w:t>
            </w:r>
            <w:r>
              <w:rPr>
                <w:rFonts w:ascii="仿宋_GB2312" w:hAnsi="仿宋_GB2312" w:cs="仿宋_GB2312" w:eastAsia="仿宋_GB2312"/>
                <w:sz w:val="28"/>
              </w:rPr>
              <w:t>并明确人员构成及工作流程，确保团队具备编制规划所需的专业知识和技能。</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时间进度要求：供应商必须按照采购人确定的时间节点，制定进度计划和保障措施</w:t>
            </w:r>
            <w:r>
              <w:rPr>
                <w:rFonts w:ascii="仿宋_GB2312" w:hAnsi="仿宋_GB2312" w:cs="仿宋_GB2312" w:eastAsia="仿宋_GB2312"/>
                <w:sz w:val="28"/>
              </w:rPr>
              <w:t>，</w:t>
            </w:r>
            <w:r>
              <w:rPr>
                <w:rFonts w:ascii="仿宋_GB2312" w:hAnsi="仿宋_GB2312" w:cs="仿宋_GB2312" w:eastAsia="仿宋_GB2312"/>
                <w:sz w:val="28"/>
              </w:rPr>
              <w:t>高质量完成《南郑区国民经济和社会发展第十五个五年规划纲要》编制工作，并完成提交各类会议审议，保障顺利通过</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技术保障要求：拟投入本项目的技术设备设施应具有针对性且完备，能满足项目实施需要，如可能涉及调研所需的设备、数据分析软件等。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签订合同后240日历天内完成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汉中市南郑区发展和改革局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满足国家、行业相关规定、规范，并通过最终审查，经最终审定部门审定和批复印发。</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完成合同约定的服务总量达到60%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合同期满，并完成合同约定全部服务内容，经甲方验收后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1.在执行本合同中发生的或与本合同有关的争端，双方应通过友好协商解决，经协商在10天内不能达成协议时，应提交南郑区仲裁委员会仲裁。2.仲裁决定应为最终决定并对双方具有约束力。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 法定代表人证明书及授权委托书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以及参加本项目采购活动前三年内在经营活动中无重大违法活动记录，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提供2020年1月1日至今类似项目的业绩，每个4分，满分8分。 注：近5年(2020年1月1日至今)，以合同签订时间为准的业绩，需提供中标通知书或合同复印件、并加盖供应商企业公章。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w:t>
            </w:r>
          </w:p>
        </w:tc>
      </w:tr>
      <w:tr>
        <w:tc>
          <w:tcPr>
            <w:tcW w:type="dxa" w:w="831"/>
            <w:vMerge/>
          </w:tcPr>
          <w:p/>
        </w:tc>
        <w:tc>
          <w:tcPr>
            <w:tcW w:type="dxa" w:w="1661"/>
          </w:tcPr>
          <w:p>
            <w:pPr>
              <w:pStyle w:val="null3"/>
            </w:pPr>
            <w:r>
              <w:rPr>
                <w:rFonts w:ascii="仿宋_GB2312" w:hAnsi="仿宋_GB2312" w:cs="仿宋_GB2312" w:eastAsia="仿宋_GB2312"/>
              </w:rPr>
              <w:t>主要人员配备</w:t>
            </w:r>
          </w:p>
        </w:tc>
        <w:tc>
          <w:tcPr>
            <w:tcW w:type="dxa" w:w="2492"/>
          </w:tcPr>
          <w:p>
            <w:pPr>
              <w:pStyle w:val="null3"/>
            </w:pPr>
            <w:r>
              <w:rPr>
                <w:rFonts w:ascii="仿宋_GB2312" w:hAnsi="仿宋_GB2312" w:cs="仿宋_GB2312" w:eastAsia="仿宋_GB2312"/>
              </w:rPr>
              <w:t>供应商服务该项目团队成员应不少于5人，①拟派往本项目的项目负责人具有高级经济师或高级城市规划师资格证书，得5分，未提供不得分。 ②其他专业技术人员中具有高级经济师或高级工程师的，每提供一个人员证书得2分，最多得8分，未提供不得分。（注：以上人员证书需提供相关证书复印件并加盖供应商单位公章，且同一人员的证书不重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主要人员配备</w:t>
            </w:r>
          </w:p>
        </w:tc>
      </w:tr>
      <w:tr>
        <w:tc>
          <w:tcPr>
            <w:tcW w:type="dxa" w:w="831"/>
            <w:vMerge/>
          </w:tcPr>
          <w:p/>
        </w:tc>
        <w:tc>
          <w:tcPr>
            <w:tcW w:type="dxa" w:w="1661"/>
          </w:tcPr>
          <w:p>
            <w:pPr>
              <w:pStyle w:val="null3"/>
            </w:pPr>
            <w:r>
              <w:rPr>
                <w:rFonts w:ascii="仿宋_GB2312" w:hAnsi="仿宋_GB2312" w:cs="仿宋_GB2312" w:eastAsia="仿宋_GB2312"/>
              </w:rPr>
              <w:t>研究思路</w:t>
            </w:r>
          </w:p>
        </w:tc>
        <w:tc>
          <w:tcPr>
            <w:tcW w:type="dxa" w:w="2492"/>
          </w:tcPr>
          <w:p>
            <w:pPr>
              <w:pStyle w:val="null3"/>
            </w:pPr>
            <w:r>
              <w:rPr>
                <w:rFonts w:ascii="仿宋_GB2312" w:hAnsi="仿宋_GB2312" w:cs="仿宋_GB2312" w:eastAsia="仿宋_GB2312"/>
              </w:rPr>
              <w:t>根据供应商编制的响应文件中针对本项目的研究思路进行综合评分，供应商的研究思路应包括但不限于：①南郑区宏观背景、经济社会发展形势；②南郑区在汉中市、陕西省发展大局中的定位；③南郑区规划重点发展方向，产业发展路径，经济潜在增长点；④南郑区规划的主要目标任务和具体举措。供应商编制的研究思路包含以上4项且能完全满足本项目实际需求的得20分；每缺一项或每有一项不满足本项目实际需求的扣5分，直至本项分值扣完为止，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研究思路</w:t>
            </w:r>
          </w:p>
        </w:tc>
      </w:tr>
      <w:tr>
        <w:tc>
          <w:tcPr>
            <w:tcW w:type="dxa" w:w="831"/>
            <w:vMerge/>
          </w:tcPr>
          <w:p/>
        </w:tc>
        <w:tc>
          <w:tcPr>
            <w:tcW w:type="dxa" w:w="1661"/>
          </w:tcPr>
          <w:p>
            <w:pPr>
              <w:pStyle w:val="null3"/>
            </w:pPr>
            <w:r>
              <w:rPr>
                <w:rFonts w:ascii="仿宋_GB2312" w:hAnsi="仿宋_GB2312" w:cs="仿宋_GB2312" w:eastAsia="仿宋_GB2312"/>
              </w:rPr>
              <w:t>重点内容</w:t>
            </w:r>
          </w:p>
        </w:tc>
        <w:tc>
          <w:tcPr>
            <w:tcW w:type="dxa" w:w="2492"/>
          </w:tcPr>
          <w:p>
            <w:pPr>
              <w:pStyle w:val="null3"/>
            </w:pPr>
            <w:r>
              <w:rPr>
                <w:rFonts w:ascii="仿宋_GB2312" w:hAnsi="仿宋_GB2312" w:cs="仿宋_GB2312" w:eastAsia="仿宋_GB2312"/>
              </w:rPr>
              <w:t>根据供应商编制的响应文件中针对本项目的重点内容进行综合评分，供应商的研究思路应包括但不限于：①对南郑区国民经济和社会发展规划所涉及领域的研究；②各项重点工作完成时限控制及进变管理方案；③规划编制服务的重点、难点分析及解决方案；④规划编制服务的保密管理措施。供应商编制的重点内容包含以上4项且能完全满足本项目实际需求的得16分；每缺一项或每有一项不满足本项目实际需求的扣4分，直至本项分值扣完为止，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重点内容</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针对本项目制定相应的质量保证措施包括但不限于：质量目标、工作前期的准备、工作过程的质量控制、工作成果的质量措施等方面综合评价。供应商编制的质量保证措施包含以上4项且能完全满足本项目实际需求的得8分；每缺一项或每有一项不满足本项目实际需求的扣2分，直至本项分值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编制的响应文件中针对本项目的售后服务方案进行综合评定，供应商的售后服务方案应包括但不限于：1、项目后期的服务团队及服务承诺；2、售后服务响应时间；3、项目的规划资料的保管措施等。供应商的售后服务方案包含以上3项且能完全满足本项目实际需求的的得6分；每缺一项或每有一项不满足本项目实际标需求的扣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紧急预案</w:t>
            </w:r>
          </w:p>
        </w:tc>
        <w:tc>
          <w:tcPr>
            <w:tcW w:type="dxa" w:w="2492"/>
          </w:tcPr>
          <w:p>
            <w:pPr>
              <w:pStyle w:val="null3"/>
            </w:pPr>
            <w:r>
              <w:rPr>
                <w:rFonts w:ascii="仿宋_GB2312" w:hAnsi="仿宋_GB2312" w:cs="仿宋_GB2312" w:eastAsia="仿宋_GB2312"/>
              </w:rPr>
              <w:t>根据供应商针对突发情况制定不同应急方案并保障售后服务顺利开展。满分5分，未提供者不得分。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紧急预案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根据供应商针对本项目的管理方案进行综合评分，供应商的管理方案中应包括但不限于1、项目组织分工；2、与委托方的有效沟通模式；3、项目内部管控制度；4、项目成果的保密措施；5、成果质量保障措施；6、保密措施；7、与相关单位的配合方式及组织协调等措施。上述内容齐全、描述清晰完整且符合本项目要求的得14分，方案每缺少一项扣2分，每有一项内容表述不详或前后表述不一致或跟本项目采购服务内容有偏差的扣1分，直至本项分值扣完为止，不提供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10%）×100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详见附件：法定代表人证明书及授权委托书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详见附件：业绩证明</w:t>
      </w:r>
    </w:p>
    <w:p>
      <w:pPr>
        <w:pStyle w:val="null3"/>
        <w:ind w:firstLine="960"/>
      </w:pPr>
      <w:r>
        <w:rPr>
          <w:rFonts w:ascii="仿宋_GB2312" w:hAnsi="仿宋_GB2312" w:cs="仿宋_GB2312" w:eastAsia="仿宋_GB2312"/>
        </w:rPr>
        <w:t>详见附件：主要人员配备</w:t>
      </w:r>
    </w:p>
    <w:p>
      <w:pPr>
        <w:pStyle w:val="null3"/>
        <w:ind w:firstLine="960"/>
      </w:pPr>
      <w:r>
        <w:rPr>
          <w:rFonts w:ascii="仿宋_GB2312" w:hAnsi="仿宋_GB2312" w:cs="仿宋_GB2312" w:eastAsia="仿宋_GB2312"/>
        </w:rPr>
        <w:t>详见附件：重点内容</w:t>
      </w:r>
    </w:p>
    <w:p>
      <w:pPr>
        <w:pStyle w:val="null3"/>
        <w:ind w:firstLine="960"/>
      </w:pPr>
      <w:r>
        <w:rPr>
          <w:rFonts w:ascii="仿宋_GB2312" w:hAnsi="仿宋_GB2312" w:cs="仿宋_GB2312" w:eastAsia="仿宋_GB2312"/>
        </w:rPr>
        <w:t>详见附件：质量保证措施</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详见附件：紧急预案</w:t>
      </w:r>
    </w:p>
    <w:p>
      <w:pPr>
        <w:pStyle w:val="null3"/>
        <w:ind w:firstLine="960"/>
      </w:pPr>
      <w:r>
        <w:rPr>
          <w:rFonts w:ascii="仿宋_GB2312" w:hAnsi="仿宋_GB2312" w:cs="仿宋_GB2312" w:eastAsia="仿宋_GB2312"/>
        </w:rPr>
        <w:t>详见附件：管理方案</w:t>
      </w:r>
    </w:p>
    <w:p>
      <w:pPr>
        <w:pStyle w:val="null3"/>
        <w:ind w:firstLine="960"/>
      </w:pPr>
      <w:r>
        <w:rPr>
          <w:rFonts w:ascii="仿宋_GB2312" w:hAnsi="仿宋_GB2312" w:cs="仿宋_GB2312" w:eastAsia="仿宋_GB2312"/>
        </w:rPr>
        <w:t>详见附件：研究思路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