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版本号：CQDL20251320250629001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南郑区南氮线迁改工程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CQDL202513</w:t>
      </w:r>
      <w:r>
        <w:br/>
      </w:r>
      <w:r>
        <w:br/>
      </w:r>
      <w:r>
        <w:br/>
      </w:r>
    </w:p>
    <w:p>
      <w:pPr>
        <w:pStyle w:val="null3"/>
        <w:jc w:val="center"/>
        <w:outlineLvl w:val="2"/>
      </w:pPr>
      <w:r>
        <w:rPr>
          <w:rFonts w:ascii="仿宋_GB2312" w:hAnsi="仿宋_GB2312" w:cs="仿宋_GB2312" w:eastAsia="仿宋_GB2312"/>
          <w:sz w:val="28"/>
          <w:b/>
        </w:rPr>
        <w:t>汉中市南郑区工业园区管理委员会</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汉中市南郑区工业园区管理委员会</w:t>
      </w:r>
      <w:r>
        <w:rPr>
          <w:rFonts w:ascii="仿宋_GB2312" w:hAnsi="仿宋_GB2312" w:cs="仿宋_GB2312" w:eastAsia="仿宋_GB2312"/>
        </w:rPr>
        <w:t>委托，拟对</w:t>
      </w:r>
      <w:r>
        <w:rPr>
          <w:rFonts w:ascii="仿宋_GB2312" w:hAnsi="仿宋_GB2312" w:cs="仿宋_GB2312" w:eastAsia="仿宋_GB2312"/>
        </w:rPr>
        <w:t>南郑区南氮线迁改工程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CQDL202513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南郑区南氮线迁改工程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该项目位于南郑区汉山街道办，主要建设内容为10KV电力线路迁改，长度约900米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采购包1（南郑区南氮线迁改工程）：属于专门面向中小企业采购。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2、拟派项目负责人资质和专业要求：证书等级：二级及以上 专业：机电工程 补充说明：取得安全考核B证，且无在建工程</w:t>
      </w:r>
    </w:p>
    <w:p>
      <w:pPr>
        <w:pStyle w:val="null3"/>
      </w:pPr>
      <w:r>
        <w:rPr>
          <w:rFonts w:ascii="仿宋_GB2312" w:hAnsi="仿宋_GB2312" w:cs="仿宋_GB2312" w:eastAsia="仿宋_GB2312"/>
        </w:rPr>
        <w:t>3、法定代表人或授权代表人身份证明：法定代表人授权书（附法定代表人身份证）及被授权人身份证复印件（法定代表人直接参加磋商的只须提供法定代表人身份证）</w:t>
      </w:r>
    </w:p>
    <w:p>
      <w:pPr>
        <w:pStyle w:val="null3"/>
      </w:pPr>
      <w:r>
        <w:rPr>
          <w:rFonts w:ascii="仿宋_GB2312" w:hAnsi="仿宋_GB2312" w:cs="仿宋_GB2312" w:eastAsia="仿宋_GB2312"/>
        </w:rPr>
        <w:t>4、供应商资质：供应商应具备建设行政主管部门核发的电力工程施工总承包三级（含三级）及其以上资质，且具有有效的安全生产许可证</w:t>
      </w:r>
    </w:p>
    <w:p>
      <w:pPr>
        <w:pStyle w:val="null3"/>
      </w:pPr>
      <w:r>
        <w:rPr>
          <w:rFonts w:ascii="仿宋_GB2312" w:hAnsi="仿宋_GB2312" w:cs="仿宋_GB2312" w:eastAsia="仿宋_GB2312"/>
        </w:rPr>
        <w:t>5、供应商资格承诺函：供应商应按照汉中市财政局《关于全面推行政府采购供应商基本资格条件承诺制的通知》（汉采办采管〔2024〕20号）文件要求，提供资格承诺函</w:t>
      </w:r>
    </w:p>
    <w:p>
      <w:pPr>
        <w:pStyle w:val="null3"/>
      </w:pPr>
      <w:r>
        <w:rPr>
          <w:rFonts w:ascii="仿宋_GB2312" w:hAnsi="仿宋_GB2312" w:cs="仿宋_GB2312" w:eastAsia="仿宋_GB2312"/>
        </w:rPr>
        <w:t>6、中小企业声明：本项目专门面向中小企业采购，供应商须提供中小企业声明函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汉中市南郑区工业园区管理委员会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南郑区汉山街道办高庄村内工业集中区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汉中市南郑区工业园区管理委员会经办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13992691801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汉中市南郑区周家坪办西大街14号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0916-5515799/18700645682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汉中市南郑区工业园区管理委员会</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汉中市南郑区工业园区管理委员会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汉中市南郑区工业园区管理委员会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陕西春秋工程项目管理有限公司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联系人：林先生</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地址：汉中市南郑区周家坪办西大街14号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550,500.00</w:t>
      </w:r>
    </w:p>
    <w:p>
      <w:pPr>
        <w:pStyle w:val="null3"/>
      </w:pPr>
      <w:r>
        <w:rPr>
          <w:rFonts w:ascii="仿宋_GB2312" w:hAnsi="仿宋_GB2312" w:cs="仿宋_GB2312" w:eastAsia="仿宋_GB2312"/>
        </w:rPr>
        <w:t>采购包最高限价（元）: 550,465.25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南郑区南氮线迁改工程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550,500.00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标的名称：南郑区南氮线迁改工程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工程质量达到合格标准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工期：30日历天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《建筑工程施工质量验收统一标准》、《建设工程质量管理条例》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做好施工安全管理，确保施工期间不发生安全生产事故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专业：机电工程 补充说明：取得安全考核B证，且无在建工程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法定代表人授权书（附法定代表人身份证）及被授权人身份证复印件（法定代表人直接参加磋商的只须提供法定代表人身份证）</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供应商应具备建设行政主管部门核发的电力工程施工总承包三级（含三级）及其以上资质，且具有有效的安全生产许可证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w:t>
            </w:r>
          </w:p>
        </w:tc>
        <w:tc>
          <w:tcPr>
            <w:tcW w:type="dxa" w:w="1661"/>
          </w:tcPr>
          <w:p>
            <w:pPr>
              <w:pStyle w:val="null3"/>
            </w:pPr>
            <w:r>
              <w:rPr>
                <w:rFonts w:ascii="仿宋_GB2312" w:hAnsi="仿宋_GB2312" w:cs="仿宋_GB2312" w:eastAsia="仿宋_GB2312"/>
              </w:rPr>
              <w:t>已标价工程量清单 法定代表人身份证明及法定代表人授权书 中小企业声明函 技术服务合同条款及其他商务要求应答表 供应商应提交的相关资格证明材料 技术投标方案.docx 响应文件封面 项目管理机构组成表 残疾人福利性单位声明函 报价函 标的清单 供应商类似项目业绩一览表 响应函 汉中市政府采购供应商资格承诺函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供应商法定代表人或其法定代表人被授权委托代理的印鉴齐全，符合竞争性磋商文件的规定</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工期与质量</w:t>
            </w:r>
          </w:p>
        </w:tc>
        <w:tc>
          <w:tcPr>
            <w:tcW w:type="dxa" w:w="3322"/>
          </w:tcPr>
          <w:p>
            <w:pPr>
              <w:pStyle w:val="null3"/>
            </w:pPr>
            <w:r>
              <w:rPr>
                <w:rFonts w:ascii="仿宋_GB2312" w:hAnsi="仿宋_GB2312" w:cs="仿宋_GB2312" w:eastAsia="仿宋_GB2312"/>
              </w:rPr>
              <w:t>供应商响应文件载明的采购项目完成期限未超过竞争性磋商文件规定的时限，质量符合竞争性磋商文件要求</w:t>
            </w:r>
          </w:p>
        </w:tc>
        <w:tc>
          <w:tcPr>
            <w:tcW w:type="dxa" w:w="1661"/>
          </w:tcPr>
          <w:p>
            <w:pPr>
              <w:pStyle w:val="null3"/>
            </w:pPr>
            <w:r>
              <w:rPr>
                <w:rFonts w:ascii="仿宋_GB2312" w:hAnsi="仿宋_GB2312" w:cs="仿宋_GB2312" w:eastAsia="仿宋_GB2312"/>
              </w:rPr>
              <w:t>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已标价工程量清单 法定代表人身份证明及法定代表人授权书 中小企业声明函 技术服务合同条款及其他商务要求应答表 供应商应提交的相关资格证明材料 技术投标方案.docx 响应文件封面 项目管理机构组成表 残疾人福利性单位声明函 报价函 标的清单 供应商类似项目业绩一览表 响应函 汉中市政府采购供应商资格承诺函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施工组织计划</w:t>
            </w:r>
          </w:p>
        </w:tc>
        <w:tc>
          <w:tcPr>
            <w:tcW w:type="dxa" w:w="2492"/>
          </w:tcPr>
          <w:p>
            <w:pPr>
              <w:pStyle w:val="null3"/>
            </w:pPr>
            <w:r>
              <w:rPr>
                <w:rFonts w:ascii="仿宋_GB2312" w:hAnsi="仿宋_GB2312" w:cs="仿宋_GB2312" w:eastAsia="仿宋_GB2312"/>
              </w:rPr>
              <w:t>1.项目目标：质量目标、工期目标、安全目标、文明环保施工目标： 评分标准：目标设置明确，满足项目需求[4-5]；目标设置一般，部分满足项目需求：[0-3.9]。 2.项目环境保护控制措施： 评分标准：措施具体得当，生态环保效果明显[4-5]；措施空洞，生态环保效果一般：[0-3.9]。 3.项目质量控制管理措施： 评分标准：质量控制措施健全，符合项目实际[4-5]；质量控制措施一般，有明显缺项，与项目实际有偏差[0-3.9]。 4.项目安全文明施工监督管理措施： 评分标准：安全文明施工监督管理措施得力，能有效预防安全事故[4-5]；安全文明施工监督管理措施一般，存在安全风险隐患[0-3.9]。 5.项目项目进度控制措施： 评分标准：进度计划合理，进度控制措施具有可操作性和科学性[4-5]；进度管理控制措施合理性、科学性一般，与项目实际情况存在偏差[0-3.9]</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施工布置合理，主要工程内容施工技术选用合理、施工措施得当、阐述全面[8-10]；施工布置合理性一般，主要工程内容施工技术选用较合理、施工措施较为得当、主要工程内容阐述基本全面[5-7.9]；施工布置不合理性，主要工程内容施工技术选用不合理、施工措施与实际不符、主要工程内容阐述存在较多缺项。[0-4.9]</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人员配备齐全，岗位设置合理，职责范围明确[4-5]；人员配备合理性一般，岗位设置不合理，职责范围不明晰[0-3.9]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主要工程机械设备配备齐全、合理，完全满足项目需求[4-5]；配备一般，部分满足项目需求[0-3.9]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类似工程业绩</w:t>
            </w:r>
          </w:p>
        </w:tc>
        <w:tc>
          <w:tcPr>
            <w:tcW w:type="dxa" w:w="2492"/>
          </w:tcPr>
          <w:p>
            <w:pPr>
              <w:pStyle w:val="null3"/>
            </w:pPr>
            <w:r>
              <w:rPr>
                <w:rFonts w:ascii="仿宋_GB2312" w:hAnsi="仿宋_GB2312" w:cs="仿宋_GB2312" w:eastAsia="仿宋_GB2312"/>
              </w:rPr>
              <w:t>供应商提供2022年6月至今完成的类似项目（项目业绩是指与采购工程的结构形式、使用功能、建设规模相同或相近的项目）业绩，每提供一份得2.5分，此项最高得5.0分；注：业绩须是供应商完成的同类项目，以成交（中标）通知书、合同或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售后保修服务</w:t>
            </w:r>
          </w:p>
        </w:tc>
        <w:tc>
          <w:tcPr>
            <w:tcW w:type="dxa" w:w="2492"/>
          </w:tcPr>
          <w:p>
            <w:pPr>
              <w:pStyle w:val="null3"/>
            </w:pPr>
            <w:r>
              <w:rPr>
                <w:rFonts w:ascii="仿宋_GB2312" w:hAnsi="仿宋_GB2312" w:cs="仿宋_GB2312" w:eastAsia="仿宋_GB2312"/>
              </w:rPr>
              <w:t>售后保修服务措施贴合项目实际，满足采购人及项目需求，保修承诺明确[4-5]；售后保修服务内容空洞，措施不明确，承诺不明确，不能完全满足采购人及项目需求[0-3.9]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满足磋商文件要求且磋商响应最低的报价（最后的响应报价）为评标基准价，其价格分为满分。其他磋商供应商的价格分统一按照下列公式计算：磋商报价得分=（评标基准价/评标价）×价格权值%×100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