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版本号：SJZY-2025-01420250629001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南郑区湘水镇初级中学边坡挡墙加固治理项目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SJZY-2025-014</w:t>
      </w:r>
      <w:r>
        <w:br/>
      </w:r>
      <w:r>
        <w:br/>
      </w:r>
      <w:r>
        <w:br/>
      </w:r>
    </w:p>
    <w:p>
      <w:pPr>
        <w:pStyle w:val="null3"/>
        <w:jc w:val="center"/>
        <w:outlineLvl w:val="2"/>
      </w:pPr>
      <w:r>
        <w:rPr>
          <w:rFonts w:ascii="仿宋_GB2312" w:hAnsi="仿宋_GB2312" w:cs="仿宋_GB2312" w:eastAsia="仿宋_GB2312"/>
          <w:sz w:val="28"/>
          <w:b/>
        </w:rPr>
        <w:t>汉中市南郑区湘水镇初级中学</w:t>
      </w:r>
    </w:p>
    <w:p>
      <w:pPr>
        <w:pStyle w:val="null3"/>
        <w:jc w:val="center"/>
        <w:outlineLvl w:val="2"/>
      </w:pPr>
      <w:r>
        <w:rPr>
          <w:rFonts w:ascii="仿宋_GB2312" w:hAnsi="仿宋_GB2312" w:cs="仿宋_GB2312" w:eastAsia="仿宋_GB2312"/>
          <w:sz w:val="28"/>
          <w:b/>
        </w:rPr>
        <w:t>陕西世佳卓越项目管理有限公司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陕西世佳卓越项目管理有限公司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汉中市南郑区湘水镇初级中学</w:t>
      </w:r>
      <w:r>
        <w:rPr>
          <w:rFonts w:ascii="仿宋_GB2312" w:hAnsi="仿宋_GB2312" w:cs="仿宋_GB2312" w:eastAsia="仿宋_GB2312"/>
        </w:rPr>
        <w:t>委托，拟对</w:t>
      </w:r>
      <w:r>
        <w:rPr>
          <w:rFonts w:ascii="仿宋_GB2312" w:hAnsi="仿宋_GB2312" w:cs="仿宋_GB2312" w:eastAsia="仿宋_GB2312"/>
        </w:rPr>
        <w:t>南郑区湘水镇初级中学边坡挡墙加固治理项目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SJZY-2025-014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南郑区湘水镇初级中学边坡挡墙加固治理项目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该工程位于陕西省汉中市南郑区湘水镇初级中学，主要建设内容为：沿原挡墙底部依托原有挡墙新砌C30混凝土挡墙，墙高7.80米，埋深0.80 米，墙顶宽0.80米，墙面坡倾斜坡度1:0.50。A-B-E段挡墙长度14米，E-F-G段挡墙长度30米，坡底砖砌排水沟50m，坡顶砖砌排水盲沟38米。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采购包1（南郑区湘水镇初级中学边坡挡墙加固治理项目）：属于专门面向中小企业采购。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代表身份证明：法定代表人直接参加磋商的，须出具法人身份证(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2、有效的主体资格证明：供应商为具有独立承担民事责任能力的法人或其他组织或自然人，并出具合法有效的营业执照或事业法人证书等国家规定的相关证明，自然人参与的提供其身份证明;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3、企业资质要求：供应商须具备（市政公用工程施工总承包三级及以上资质）并提供有效的安全生产许可证</w:t>
      </w:r>
    </w:p>
    <w:p>
      <w:pPr>
        <w:pStyle w:val="null3"/>
      </w:pPr>
      <w:r>
        <w:rPr>
          <w:rFonts w:ascii="仿宋_GB2312" w:hAnsi="仿宋_GB2312" w:cs="仿宋_GB2312" w:eastAsia="仿宋_GB2312"/>
        </w:rPr>
        <w:t>4、项目经理资质要求：拟派项目经理应具备市政公用二级注册建造师及以上执业资格、具备有效的安全生产考核合格证书（B证），无在建工程（提供承诺书）</w:t>
      </w:r>
    </w:p>
    <w:p>
      <w:pPr>
        <w:pStyle w:val="null3"/>
      </w:pPr>
      <w:r>
        <w:rPr>
          <w:rFonts w:ascii="仿宋_GB2312" w:hAnsi="仿宋_GB2312" w:cs="仿宋_GB2312" w:eastAsia="仿宋_GB2312"/>
        </w:rPr>
        <w:t>5、投标保证金：需提供投标保证金转账截图</w:t>
      </w:r>
    </w:p>
    <w:p>
      <w:pPr>
        <w:pStyle w:val="null3"/>
      </w:pPr>
      <w:r>
        <w:rPr>
          <w:rFonts w:ascii="仿宋_GB2312" w:hAnsi="仿宋_GB2312" w:cs="仿宋_GB2312" w:eastAsia="仿宋_GB2312"/>
        </w:rPr>
        <w:t>6、汉中市政府采购供应商资格承诺函：供应商须提供《汉中市政府采购供应商资格承诺函》;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汉中市南郑区湘水镇初级中学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陕西省汉中市南郑区南郑区湘水镇湘水村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南郑县湘水镇初级中学经办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13488057579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陕西世佳卓越项目管理有限公司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陕西省汉中市汉台区陕西省汉中市汉台区北关街道办事处张万营社区西环路北段龙城苑写字楼3层317室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13379465585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开户名称：陕西世佳卓越项目管理有限公司</w:t>
            </w:r>
          </w:p>
          <w:p>
            <w:pPr>
              <w:pStyle w:val="null3"/>
            </w:pPr>
            <w:r>
              <w:rPr>
                <w:rFonts w:ascii="仿宋_GB2312" w:hAnsi="仿宋_GB2312" w:cs="仿宋_GB2312" w:eastAsia="仿宋_GB2312"/>
              </w:rPr>
              <w:t>开户银行：中国工商银行股份有限公司汉中人民路支行</w:t>
            </w:r>
          </w:p>
          <w:p>
            <w:pPr>
              <w:pStyle w:val="null3"/>
            </w:pPr>
            <w:r>
              <w:rPr>
                <w:rFonts w:ascii="仿宋_GB2312" w:hAnsi="仿宋_GB2312" w:cs="仿宋_GB2312" w:eastAsia="仿宋_GB2312"/>
              </w:rPr>
              <w:t>银行账号：2606 0536 0920 0329 271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汉中市南郑区湘水镇初级中学</w:t>
      </w:r>
      <w:r>
        <w:rPr>
          <w:rFonts w:ascii="仿宋_GB2312" w:hAnsi="仿宋_GB2312" w:cs="仿宋_GB2312" w:eastAsia="仿宋_GB2312"/>
        </w:rPr>
        <w:t>和</w:t>
      </w:r>
      <w:r>
        <w:rPr>
          <w:rFonts w:ascii="仿宋_GB2312" w:hAnsi="仿宋_GB2312" w:cs="仿宋_GB2312" w:eastAsia="仿宋_GB2312"/>
        </w:rPr>
        <w:t>陕西世佳卓越项目管理有限公司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汉中市南郑区湘水镇初级中学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陕西世佳卓越项目管理有限公司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汉中市南郑区湘水镇初级中学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陕西世佳卓越项目管理有限公司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陕西世佳卓越项目管理有限公司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联系人：吴女士</w:t>
      </w:r>
    </w:p>
    <w:p>
      <w:pPr>
        <w:pStyle w:val="null3"/>
      </w:pPr>
      <w:r>
        <w:rPr>
          <w:rFonts w:ascii="仿宋_GB2312" w:hAnsi="仿宋_GB2312" w:cs="仿宋_GB2312" w:eastAsia="仿宋_GB2312"/>
        </w:rPr>
        <w:t>联系电话：13379465585</w:t>
      </w:r>
    </w:p>
    <w:p>
      <w:pPr>
        <w:pStyle w:val="null3"/>
      </w:pPr>
      <w:r>
        <w:rPr>
          <w:rFonts w:ascii="仿宋_GB2312" w:hAnsi="仿宋_GB2312" w:cs="仿宋_GB2312" w:eastAsia="仿宋_GB2312"/>
        </w:rPr>
        <w:t>地址：汉中市红叶大酒店后院小四楼1楼103室</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624,452.51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南郑区湘水镇初级中学边坡挡墙加固治理项目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标的名称：南郑区湘水镇初级中学边坡挡墙加固治理项目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left"/>
            </w:pPr>
            <w:r>
              <w:rPr>
                <w:rFonts w:ascii="仿宋_GB2312" w:hAnsi="仿宋_GB2312" w:cs="仿宋_GB2312" w:eastAsia="仿宋_GB2312"/>
                <w:sz w:val="28"/>
              </w:rPr>
              <w:t>该工程位于陕西省汉中市南郑区湘水镇初级中学，主要建设内容为：</w:t>
            </w:r>
            <w:r>
              <w:rPr>
                <w:rFonts w:ascii="仿宋_GB2312" w:hAnsi="仿宋_GB2312" w:cs="仿宋_GB2312" w:eastAsia="仿宋_GB2312"/>
                <w:sz w:val="28"/>
              </w:rPr>
              <w:t>沿原挡墙底部依托原有挡墙新砌</w:t>
            </w:r>
            <w:r>
              <w:rPr>
                <w:rFonts w:ascii="仿宋_GB2312" w:hAnsi="仿宋_GB2312" w:cs="仿宋_GB2312" w:eastAsia="仿宋_GB2312"/>
                <w:sz w:val="28"/>
              </w:rPr>
              <w:t>C30混凝土挡墙，墙高</w:t>
            </w:r>
            <w:r>
              <w:rPr>
                <w:rFonts w:ascii="仿宋_GB2312" w:hAnsi="仿宋_GB2312" w:cs="仿宋_GB2312" w:eastAsia="仿宋_GB2312"/>
                <w:sz w:val="28"/>
              </w:rPr>
              <w:t>7.80</w:t>
            </w:r>
            <w:r>
              <w:rPr>
                <w:rFonts w:ascii="仿宋_GB2312" w:hAnsi="仿宋_GB2312" w:cs="仿宋_GB2312" w:eastAsia="仿宋_GB2312"/>
                <w:sz w:val="28"/>
              </w:rPr>
              <w:t>米，埋深</w:t>
            </w:r>
            <w:r>
              <w:rPr>
                <w:rFonts w:ascii="仿宋_GB2312" w:hAnsi="仿宋_GB2312" w:cs="仿宋_GB2312" w:eastAsia="仿宋_GB2312"/>
                <w:sz w:val="28"/>
              </w:rPr>
              <w:t xml:space="preserve">0.80 </w:t>
            </w:r>
            <w:r>
              <w:rPr>
                <w:rFonts w:ascii="仿宋_GB2312" w:hAnsi="仿宋_GB2312" w:cs="仿宋_GB2312" w:eastAsia="仿宋_GB2312"/>
                <w:sz w:val="28"/>
              </w:rPr>
              <w:t>米，墙顶宽</w:t>
            </w:r>
            <w:r>
              <w:rPr>
                <w:rFonts w:ascii="仿宋_GB2312" w:hAnsi="仿宋_GB2312" w:cs="仿宋_GB2312" w:eastAsia="仿宋_GB2312"/>
                <w:sz w:val="28"/>
              </w:rPr>
              <w:t>0.80</w:t>
            </w:r>
            <w:r>
              <w:rPr>
                <w:rFonts w:ascii="仿宋_GB2312" w:hAnsi="仿宋_GB2312" w:cs="仿宋_GB2312" w:eastAsia="仿宋_GB2312"/>
                <w:sz w:val="28"/>
              </w:rPr>
              <w:t>米，墙面坡倾斜坡度</w:t>
            </w:r>
            <w:r>
              <w:rPr>
                <w:rFonts w:ascii="仿宋_GB2312" w:hAnsi="仿宋_GB2312" w:cs="仿宋_GB2312" w:eastAsia="仿宋_GB2312"/>
                <w:sz w:val="28"/>
              </w:rPr>
              <w:t>1:0.50</w:t>
            </w:r>
            <w:r>
              <w:rPr>
                <w:rFonts w:ascii="仿宋_GB2312" w:hAnsi="仿宋_GB2312" w:cs="仿宋_GB2312" w:eastAsia="仿宋_GB2312"/>
                <w:sz w:val="28"/>
              </w:rPr>
              <w:t>。</w:t>
            </w:r>
            <w:r>
              <w:rPr>
                <w:rFonts w:ascii="仿宋_GB2312" w:hAnsi="仿宋_GB2312" w:cs="仿宋_GB2312" w:eastAsia="仿宋_GB2312"/>
                <w:sz w:val="28"/>
              </w:rPr>
              <w:t>A-B-E段挡墙长度14米，E-F-G段挡墙长度30米，坡底砖砌排水沟50m，坡顶砖砌排水盲沟38米。</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both"/>
            </w:pPr>
            <w:r>
              <w:rPr>
                <w:rFonts w:ascii="仿宋_GB2312" w:hAnsi="仿宋_GB2312" w:cs="仿宋_GB2312" w:eastAsia="仿宋_GB2312"/>
                <w:sz w:val="28"/>
              </w:rPr>
              <w:t>1、2009《陕西省建筑工程工程量清单计价规则》；</w:t>
            </w:r>
          </w:p>
          <w:p>
            <w:pPr>
              <w:pStyle w:val="null3"/>
              <w:ind w:firstLine="560"/>
              <w:jc w:val="both"/>
            </w:pPr>
            <w:r>
              <w:rPr>
                <w:rFonts w:ascii="仿宋_GB2312" w:hAnsi="仿宋_GB2312" w:cs="仿宋_GB2312" w:eastAsia="仿宋_GB2312"/>
                <w:sz w:val="28"/>
              </w:rPr>
              <w:t>2、湘水镇初级中学边坡挡墙加固工程</w:t>
            </w:r>
            <w:r>
              <w:rPr>
                <w:rFonts w:ascii="仿宋_GB2312" w:hAnsi="仿宋_GB2312" w:cs="仿宋_GB2312" w:eastAsia="仿宋_GB2312"/>
                <w:sz w:val="28"/>
              </w:rPr>
              <w:t>施工图纸</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3、《陕西省建筑装饰、安装、市政、园林绿化、景观工程消耗量定额（2004）》、《陕西省建筑装饰、安装、市政、园林绿化、景观工程价目表2009》及配套使用的相关计价文件，及其他相关计价依据等依据；</w:t>
            </w:r>
          </w:p>
          <w:p>
            <w:pPr>
              <w:pStyle w:val="null3"/>
              <w:ind w:firstLine="560"/>
              <w:jc w:val="both"/>
            </w:pPr>
            <w:r>
              <w:rPr>
                <w:rFonts w:ascii="仿宋_GB2312" w:hAnsi="仿宋_GB2312" w:cs="仿宋_GB2312" w:eastAsia="仿宋_GB2312"/>
                <w:sz w:val="28"/>
              </w:rPr>
              <w:t>4、该工程按照陕建发【2017】270号文件，增加扬尘污染治理费；</w:t>
            </w:r>
          </w:p>
          <w:p>
            <w:pPr>
              <w:pStyle w:val="null3"/>
              <w:ind w:firstLine="560"/>
              <w:jc w:val="both"/>
            </w:pPr>
            <w:r>
              <w:rPr>
                <w:rFonts w:ascii="仿宋_GB2312" w:hAnsi="仿宋_GB2312" w:cs="仿宋_GB2312" w:eastAsia="仿宋_GB2312"/>
                <w:sz w:val="28"/>
              </w:rPr>
              <w:t>5、该工程按照陕建发【20</w:t>
            </w:r>
            <w:r>
              <w:rPr>
                <w:rFonts w:ascii="仿宋_GB2312" w:hAnsi="仿宋_GB2312" w:cs="仿宋_GB2312" w:eastAsia="仿宋_GB2312"/>
                <w:sz w:val="28"/>
              </w:rPr>
              <w:t>21</w:t>
            </w:r>
            <w:r>
              <w:rPr>
                <w:rFonts w:ascii="仿宋_GB2312" w:hAnsi="仿宋_GB2312" w:cs="仿宋_GB2312" w:eastAsia="仿宋_GB2312"/>
                <w:sz w:val="28"/>
              </w:rPr>
              <w:t>】</w:t>
            </w:r>
            <w:r>
              <w:rPr>
                <w:rFonts w:ascii="仿宋_GB2312" w:hAnsi="仿宋_GB2312" w:cs="仿宋_GB2312" w:eastAsia="仿宋_GB2312"/>
                <w:sz w:val="28"/>
              </w:rPr>
              <w:t>1097</w:t>
            </w:r>
            <w:r>
              <w:rPr>
                <w:rFonts w:ascii="仿宋_GB2312" w:hAnsi="仿宋_GB2312" w:cs="仿宋_GB2312" w:eastAsia="仿宋_GB2312"/>
                <w:sz w:val="28"/>
              </w:rPr>
              <w:t>号文件调整人工单价（综合人工</w:t>
            </w:r>
            <w:r>
              <w:rPr>
                <w:rFonts w:ascii="仿宋_GB2312" w:hAnsi="仿宋_GB2312" w:cs="仿宋_GB2312" w:eastAsia="仿宋_GB2312"/>
                <w:sz w:val="28"/>
              </w:rPr>
              <w:t>1</w:t>
            </w:r>
            <w:r>
              <w:rPr>
                <w:rFonts w:ascii="仿宋_GB2312" w:hAnsi="仿宋_GB2312" w:cs="仿宋_GB2312" w:eastAsia="仿宋_GB2312"/>
                <w:sz w:val="28"/>
              </w:rPr>
              <w:t>36</w:t>
            </w:r>
            <w:r>
              <w:rPr>
                <w:rFonts w:ascii="仿宋_GB2312" w:hAnsi="仿宋_GB2312" w:cs="仿宋_GB2312" w:eastAsia="仿宋_GB2312"/>
                <w:sz w:val="28"/>
              </w:rPr>
              <w:t>.00元/工日，装饰人工1</w:t>
            </w:r>
            <w:r>
              <w:rPr>
                <w:rFonts w:ascii="仿宋_GB2312" w:hAnsi="仿宋_GB2312" w:cs="仿宋_GB2312" w:eastAsia="仿宋_GB2312"/>
                <w:sz w:val="28"/>
              </w:rPr>
              <w:t>46</w:t>
            </w:r>
            <w:r>
              <w:rPr>
                <w:rFonts w:ascii="仿宋_GB2312" w:hAnsi="仿宋_GB2312" w:cs="仿宋_GB2312" w:eastAsia="仿宋_GB2312"/>
                <w:sz w:val="28"/>
              </w:rPr>
              <w:t>.00元/工日）；</w:t>
            </w:r>
          </w:p>
          <w:p>
            <w:pPr>
              <w:pStyle w:val="null3"/>
              <w:ind w:firstLine="560"/>
              <w:jc w:val="both"/>
            </w:pPr>
            <w:r>
              <w:rPr>
                <w:rFonts w:ascii="仿宋_GB2312" w:hAnsi="仿宋_GB2312" w:cs="仿宋_GB2312" w:eastAsia="仿宋_GB2312"/>
                <w:sz w:val="28"/>
              </w:rPr>
              <w:t>6、该工程执行陕建规发【2016】100号文件《关于调整陕西省建设工程计价依据的通知》（营改增）</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7、该工程税金费率执行陕建发【2019】45号文件《关于调整建设工程计价依据增值税税率的通知》；</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该工程执行陕建价统发【</w:t>
            </w:r>
            <w:r>
              <w:rPr>
                <w:rFonts w:ascii="仿宋_GB2312" w:hAnsi="仿宋_GB2312" w:cs="仿宋_GB2312" w:eastAsia="仿宋_GB2312"/>
                <w:sz w:val="28"/>
              </w:rPr>
              <w:t>2019】64号文件《关于发布我省落实建筑工人实名制管理计价依据的通知》</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9、该工程规费执行陕建发【2020】1097号文件《关于建筑施工安全生产责任保险费用计价的通知》；</w:t>
            </w:r>
          </w:p>
          <w:p>
            <w:pPr>
              <w:pStyle w:val="null3"/>
              <w:jc w:val="both"/>
            </w:pPr>
            <w:r>
              <w:rPr>
                <w:rFonts w:ascii="仿宋_GB2312" w:hAnsi="仿宋_GB2312" w:cs="仿宋_GB2312" w:eastAsia="仿宋_GB2312"/>
                <w:sz w:val="28"/>
              </w:rPr>
              <w:t>10、主要材料价按汉中市工程造价管理办公室发布的《汉中建设工程造价信息》202</w:t>
            </w:r>
            <w:r>
              <w:rPr>
                <w:rFonts w:ascii="仿宋_GB2312" w:hAnsi="仿宋_GB2312" w:cs="仿宋_GB2312" w:eastAsia="仿宋_GB2312"/>
                <w:sz w:val="28"/>
              </w:rPr>
              <w:t>5</w:t>
            </w:r>
            <w:r>
              <w:rPr>
                <w:rFonts w:ascii="仿宋_GB2312" w:hAnsi="仿宋_GB2312" w:cs="仿宋_GB2312" w:eastAsia="仿宋_GB2312"/>
                <w:sz w:val="28"/>
              </w:rPr>
              <w:t>年第</w:t>
            </w:r>
            <w:r>
              <w:rPr>
                <w:rFonts w:ascii="仿宋_GB2312" w:hAnsi="仿宋_GB2312" w:cs="仿宋_GB2312" w:eastAsia="仿宋_GB2312"/>
                <w:sz w:val="28"/>
              </w:rPr>
              <w:t>4</w:t>
            </w:r>
            <w:r>
              <w:rPr>
                <w:rFonts w:ascii="仿宋_GB2312" w:hAnsi="仿宋_GB2312" w:cs="仿宋_GB2312" w:eastAsia="仿宋_GB2312"/>
                <w:sz w:val="28"/>
              </w:rPr>
              <w:t>期材料价当前建筑材料市场价综合计入</w:t>
            </w:r>
            <w:r>
              <w:rPr>
                <w:rFonts w:ascii="仿宋_GB2312" w:hAnsi="仿宋_GB2312" w:cs="仿宋_GB2312" w:eastAsia="仿宋_GB2312"/>
                <w:sz w:val="28"/>
              </w:rPr>
              <w:t>。</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计价软件：</w:t>
            </w:r>
            <w:r>
              <w:rPr>
                <w:rFonts w:ascii="仿宋_GB2312" w:hAnsi="仿宋_GB2312" w:cs="仿宋_GB2312" w:eastAsia="仿宋_GB2312"/>
                <w:sz w:val="28"/>
              </w:rPr>
              <w:t>广联达</w:t>
            </w:r>
            <w:r>
              <w:rPr>
                <w:rFonts w:ascii="仿宋_GB2312" w:hAnsi="仿宋_GB2312" w:cs="仿宋_GB2312" w:eastAsia="仿宋_GB2312"/>
                <w:sz w:val="28"/>
              </w:rPr>
              <w:t>清单计价</w:t>
            </w:r>
            <w:r>
              <w:rPr>
                <w:rFonts w:ascii="仿宋_GB2312" w:hAnsi="仿宋_GB2312" w:cs="仿宋_GB2312" w:eastAsia="仿宋_GB2312"/>
                <w:sz w:val="28"/>
              </w:rPr>
              <w:t>软件</w:t>
            </w:r>
            <w:r>
              <w:rPr>
                <w:rFonts w:ascii="仿宋_GB2312" w:hAnsi="仿宋_GB2312" w:cs="仿宋_GB2312" w:eastAsia="仿宋_GB2312"/>
                <w:sz w:val="28"/>
              </w:rPr>
              <w:t>6.0。</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 xml:space="preserve"> 商务要求、工期：60日历天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应具有良好的商业信誉和健全的财务会计制度，供应商应按照汉中市财政局《关于全面推行政府采购供应商基本资格条件明承诺制的通知》(汉采办采管(2024)20号)文件要求，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法定代表人直接参加磋商的，须出具法人身份证(附法定代表人身份证复印件);法定代表人授权代表参加磋商的，须出具法定代表人授权书及授权代表身份证(附法定代表人身份证复印件及被授权人身份证复印件);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供应商须具备（市政公用工程施工总承包三级及以上资质）并提供有效的安全生产许可证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拟派项目经理应具备市政公用二级注册建造师及以上执业资格、具备有效的安全生产考核合格证书（B证），无在建工程（提供承诺书）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需提供投标保证金转账截图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磋商响应文件语言、计量单位、报价货币</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已标价工程量清单 中小企业声明函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供应商应提交的相关资格证明材料.docx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对本项目工程质量保证措施进行综合评审。(保证措施科学、合理、可行性高得计10.1-15分；保证措施较合理、内容完整计5.1-10分；保证措施不完整、可行性较差计1.0-5分。未提供此项内容不得分)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安全生产、文明施工的保证措施及环境保护措施</w:t>
            </w:r>
          </w:p>
        </w:tc>
        <w:tc>
          <w:tcPr>
            <w:tcW w:type="dxa" w:w="2492"/>
          </w:tcPr>
          <w:p>
            <w:pPr>
              <w:pStyle w:val="null3"/>
            </w:pPr>
            <w:r>
              <w:rPr>
                <w:rFonts w:ascii="仿宋_GB2312" w:hAnsi="仿宋_GB2312" w:cs="仿宋_GB2312" w:eastAsia="仿宋_GB2312"/>
              </w:rPr>
              <w:t>对本项目安全生产、文明施工的保证措施及环境保护措施进行综合评审。（保证措施科学、合理、可行性高计10.1-15分；保证措施较合理、内容完整计5.1-10分；保证措施不完整、可行性较差计1.0-5分。未提供此项内容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工期的保证措施</w:t>
            </w:r>
          </w:p>
        </w:tc>
        <w:tc>
          <w:tcPr>
            <w:tcW w:type="dxa" w:w="2492"/>
          </w:tcPr>
          <w:p>
            <w:pPr>
              <w:pStyle w:val="null3"/>
            </w:pPr>
            <w:r>
              <w:rPr>
                <w:rFonts w:ascii="仿宋_GB2312" w:hAnsi="仿宋_GB2312" w:cs="仿宋_GB2312" w:eastAsia="仿宋_GB2312"/>
              </w:rPr>
              <w:t>对本项目工期的保证措施进行综合评审。（保证措施科学、合理、可行性高计7.1-10分；保证措施较合理、内容完整计4.1-7分；保证措施不完整、可行性较差计1.0-4分；未提供此项内容不得分）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施工方案和项目经理部组成人员</w:t>
            </w:r>
          </w:p>
        </w:tc>
        <w:tc>
          <w:tcPr>
            <w:tcW w:type="dxa" w:w="2492"/>
          </w:tcPr>
          <w:p>
            <w:pPr>
              <w:pStyle w:val="null3"/>
            </w:pPr>
            <w:r>
              <w:rPr>
                <w:rFonts w:ascii="仿宋_GB2312" w:hAnsi="仿宋_GB2312" w:cs="仿宋_GB2312" w:eastAsia="仿宋_GB2312"/>
              </w:rPr>
              <w:t>对本项目施工方案和项目经理部组成人员进行综合评审。（施工方案完整详细、项目部人员岗位配置齐全充足计15.1-20分；施工方案较为简单、项目部组成基本满足施工要求计8.1-15分；施工方案有缺漏，项目部组成不够完善计1.0-8分；未提供此项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质量保证及服务承诺</w:t>
            </w:r>
          </w:p>
        </w:tc>
        <w:tc>
          <w:tcPr>
            <w:tcW w:type="dxa" w:w="2492"/>
          </w:tcPr>
          <w:p>
            <w:pPr>
              <w:pStyle w:val="null3"/>
            </w:pPr>
            <w:r>
              <w:rPr>
                <w:rFonts w:ascii="仿宋_GB2312" w:hAnsi="仿宋_GB2312" w:cs="仿宋_GB2312" w:eastAsia="仿宋_GB2312"/>
              </w:rPr>
              <w:t>对本项目质量保证及服务承诺进行综合评审。（质量保证及服务承诺详尽，符合项目特点计4.1-5分；保证措施及服务承诺较为简单计2.1-4分；保证措施及服务承诺不够完善计1-2分。未提供此项内容不得分）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1、供应商提供2022年至今完成的类似业绩证明，每提供一份得2.5分，最高得5分；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2、以满足本次竞争性磋商文件要求的最低报价为评审基准价，其价格为满分； 3、不享有政策优惠条件的投标供应商报价得分=（评审基准价/报价）×30 4、全部符合政策优惠条件的投标供应商报价得分=[评审基准价/报价*(1-10%)]×30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