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版本号：HXCG-2025-HZ-06-0120250609001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2025年南郑区福成镇马元村中药材加工厂建设项目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HXCG-2025-HZ-06-01</w:t>
      </w:r>
      <w:r>
        <w:br/>
      </w:r>
      <w:r>
        <w:br/>
      </w:r>
      <w:r>
        <w:br/>
      </w:r>
    </w:p>
    <w:p>
      <w:pPr>
        <w:pStyle w:val="null3"/>
        <w:jc w:val="center"/>
        <w:outlineLvl w:val="2"/>
      </w:pPr>
      <w:r>
        <w:rPr>
          <w:rFonts w:ascii="仿宋_GB2312" w:hAnsi="仿宋_GB2312" w:cs="仿宋_GB2312" w:eastAsia="仿宋_GB2312"/>
          <w:sz w:val="28"/>
          <w:b/>
        </w:rPr>
        <w:t>汉中市南郑区福成镇人民政府</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汉中市南郑区福成镇人民政府</w:t>
      </w:r>
      <w:r>
        <w:rPr>
          <w:rFonts w:ascii="仿宋_GB2312" w:hAnsi="仿宋_GB2312" w:cs="仿宋_GB2312" w:eastAsia="仿宋_GB2312"/>
        </w:rPr>
        <w:t>委托，拟对</w:t>
      </w:r>
      <w:r>
        <w:rPr>
          <w:rFonts w:ascii="仿宋_GB2312" w:hAnsi="仿宋_GB2312" w:cs="仿宋_GB2312" w:eastAsia="仿宋_GB2312"/>
        </w:rPr>
        <w:t>2025年南郑区福成镇马元村中药材加工厂建设项目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HXCG-2025-HZ-06-01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2025年南郑区福成镇马元村中药材加工厂建设项目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该项目建设地位于南郑区福成镇马元村。主要建设内容：单层砖混+轻钢结构，建筑面积354.74m2,建筑高度6.3m（檐口）。±0.00-1.20m处采用240厚页岩实心砖砌体，墙体1.2m以上采用100厚双层压型金属板复合保温墙板；屋面为100厚双层压型金属板复合保温屋面；卫生间铺地砖+防水；中药材收储用房采用水泥基自流平地面等。本项目工期60日历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采购包1（2025年南郑区福成镇马元村中药材加工厂建设项目）：属于专门面向中小企业采购。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统一社会信用代码的营业执照或事业单位法人证书等国家规定的相关证明，自然人参与的提供其身份证明。：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书（附法定代表人身份证复印件）及被授权人身份证复印件（法定代表人直接参加投标只须提供法定代表人身份证复印件）：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3、供应商须具备建设行政主管部门核发的【建筑工程施工总承包】或【钢结构工程专业承包】三级（含三级）及以上资质等级，并具有有效的安全生产许可证；供应商拟派项目负责人具备建筑工程二级注册建造师及以上执业资格，并具有有效的安全生产考核合格证（建安B证）且无在建工程（需提供无在建承诺）：供应商须具备建设行政主管部门核发的【建筑工程施工总承包】或【钢结构工程专业承包】三级（含三级）及以上资质等级，并具有有效的安全生产许可证；供应商拟派项目负责人具备建筑工程二级注册建造师及以上执业资格，并具有有效的安全生产考核合格证（建安B证）且无在建工程（需提供无在建承诺）</w:t>
      </w:r>
    </w:p>
    <w:p>
      <w:pPr>
        <w:pStyle w:val="null3"/>
      </w:pPr>
      <w:r>
        <w:rPr>
          <w:rFonts w:ascii="仿宋_GB2312" w:hAnsi="仿宋_GB2312" w:cs="仿宋_GB2312" w:eastAsia="仿宋_GB2312"/>
        </w:rPr>
        <w:t>4、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pPr>
      <w:r>
        <w:rPr>
          <w:rFonts w:ascii="仿宋_GB2312" w:hAnsi="仿宋_GB2312" w:cs="仿宋_GB2312" w:eastAsia="仿宋_GB2312"/>
        </w:rPr>
        <w:t>5、本项目不接受联合体磋商(须提供非联合体磋商承诺函)。：本项目不接受联合体磋商(须提供非联合体磋商承诺函)。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汉中市南郑区福成镇人民政府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南郑区福成镇程家坝村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15991967577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汉中市汉台区东一环路与风景路交汇处中饮办公中心8009室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15319339961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说明：签订合同后需向采购人缴纳合同金额*3%的履约保证金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 号关于印发《招标代理服务收费管理暂行办法》及《国家发展和改革委员会办公厅关于招标代理服务收费有关问题的通知》（发改办价格〔2003〕857 号）文件规定，以成交价为基数，按照工程类招标计算收取代理服务费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汉中市南郑区福成镇人民政府</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汉中市南郑区福成镇人民政府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汉中市南郑区福成镇人民政府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符合相关建设标准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联系电话：15319339961</w:t>
      </w:r>
    </w:p>
    <w:p>
      <w:pPr>
        <w:pStyle w:val="null3"/>
      </w:pPr>
      <w:r>
        <w:rPr>
          <w:rFonts w:ascii="仿宋_GB2312" w:hAnsi="仿宋_GB2312" w:cs="仿宋_GB2312" w:eastAsia="仿宋_GB2312"/>
        </w:rPr>
        <w:t>地址：汉中市汉台区东一环路与风景路交汇处中饮办公中心8009室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1,175,041.06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中药材加工厂建设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标的名称：中药材加工厂建设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备建设行政主管部门核发的【建筑工程施工总承包】或【钢结构工程专业承包】三级（含三级）及以上资质等级，并具有有效的安全生产许可证；供应商拟派项目负责人具备建筑工程二级注册建造师及以上执业资格，并具有有效的安全生产考核合格证（建安B证）且无在建工程（需提供无在建承诺）</w:t>
            </w:r>
          </w:p>
        </w:tc>
        <w:tc>
          <w:tcPr>
            <w:tcW w:type="dxa" w:w="3322"/>
          </w:tcPr>
          <w:p>
            <w:pPr>
              <w:pStyle w:val="null3"/>
            </w:pPr>
            <w:r>
              <w:rPr>
                <w:rFonts w:ascii="仿宋_GB2312" w:hAnsi="仿宋_GB2312" w:cs="仿宋_GB2312" w:eastAsia="仿宋_GB2312"/>
              </w:rPr>
              <w:t>供应商须具备建设行政主管部门核发的【建筑工程施工总承包】或【钢结构工程专业承包】三级（含三级）及以上资质等级，并具有有效的安全生产许可证；供应商拟派项目负责人具备建筑工程二级注册建造师及以上执业资格，并具有有效的安全生产考核合格证（建安B证）且无在建工程（需提供无在建承诺）</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本项目不接受联合体磋商(须提供非联合体磋商承诺函)。</w:t>
            </w:r>
          </w:p>
        </w:tc>
        <w:tc>
          <w:tcPr>
            <w:tcW w:type="dxa" w:w="3322"/>
          </w:tcPr>
          <w:p>
            <w:pPr>
              <w:pStyle w:val="null3"/>
            </w:pPr>
            <w:r>
              <w:rPr>
                <w:rFonts w:ascii="仿宋_GB2312" w:hAnsi="仿宋_GB2312" w:cs="仿宋_GB2312" w:eastAsia="仿宋_GB2312"/>
              </w:rPr>
              <w:t>本项目不接受联合体磋商(须提供非联合体磋商承诺函)。</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项目经理具备高级工程师得5分 ,中级工程师得3分 ,初级工程师得1分；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项目经理.pdf</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提供人员配置，根据响应情况赋分0-5分，未提供的不计分。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供应商提供2022年至今完成类似项目业绩，每提供1个业绩得2.5分，此项最高得5分；（注：业绩评审需提供项目中标通知书及施工合同复印件，缺一无效）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根据项目情况提供服务承诺，承诺完整、合理且符合实际情况的，磋商小组根据响应程度赋0-5分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服务承诺.pdf</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针对本项目提供科学、可行、合理的施工方案；（优10-6分，良6-2分，一般2-0分）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施工方案.pdf</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措施科学、合理、可行；（优10-6分，良6-2分，一般2-0分）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施工质量保证措施.pdf</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措施科学、合理、可行；（优10-6分，良6-2分，一般2-0分）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施工安全保证措施.pdf</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措施科学、合理、可行；（优10-6分，良6-2分，一般2-0分）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工期保证措施.pdf</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措施科学、合理、可行；（优10-6分，良6-2分，一般2-0分）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环境保护措施.pdf</w:t>
            </w:r>
          </w:p>
        </w:tc>
      </w:tr>
      <w:tr>
        <w:tc>
          <w:tcPr>
            <w:tcW w:type="dxa" w:w="831"/>
            <w:vMerge/>
          </w:tcPr>
          <w:p/>
        </w:tc>
        <w:tc>
          <w:tcPr>
            <w:tcW w:type="dxa" w:w="1661"/>
          </w:tcPr>
          <w:p>
            <w:pPr>
              <w:pStyle w:val="null3"/>
            </w:pPr>
            <w:r>
              <w:rPr>
                <w:rFonts w:ascii="仿宋_GB2312" w:hAnsi="仿宋_GB2312" w:cs="仿宋_GB2312" w:eastAsia="仿宋_GB2312"/>
              </w:rPr>
              <w:t>施工过程中主要机具、设备配备情况</w:t>
            </w:r>
          </w:p>
        </w:tc>
        <w:tc>
          <w:tcPr>
            <w:tcW w:type="dxa" w:w="2492"/>
          </w:tcPr>
          <w:p>
            <w:pPr>
              <w:pStyle w:val="null3"/>
            </w:pPr>
            <w:r>
              <w:rPr>
                <w:rFonts w:ascii="仿宋_GB2312" w:hAnsi="仿宋_GB2312" w:cs="仿宋_GB2312" w:eastAsia="仿宋_GB2312"/>
              </w:rPr>
              <w:t>机械设备满足工程需要，科学、合理、可行；（优10-6分，良6-2分，一般2-0分）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施工过程中主要机具、设备配备情况.pdf</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优5-4分，良4-2分，一般2-0分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劳动力安排计划及劳务分包情况.pdf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 ：价格分采用低价优先法计算，即满足招标文件要求且投标价格最低的投标报价为评审基准价，其价格 分为满分。其他投标人的价格分统一按照下列公式计算： 投标报价得分=（评审基准价/投标报价）×价格权值10%×100 注：评标委员会二分之一以上专家认为某投标报价有低于成本价嫌疑的，且供应商无法证明其价格合理性的，为无效报价。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详见附件：项目经理.pdf</w:t>
      </w:r>
    </w:p>
    <w:p>
      <w:pPr>
        <w:pStyle w:val="null3"/>
        <w:ind w:firstLine="960"/>
      </w:pPr>
      <w:r>
        <w:rPr>
          <w:rFonts w:ascii="仿宋_GB2312" w:hAnsi="仿宋_GB2312" w:cs="仿宋_GB2312" w:eastAsia="仿宋_GB2312"/>
        </w:rPr>
        <w:t>详见附件：服务承诺.pdf</w:t>
      </w:r>
    </w:p>
    <w:p>
      <w:pPr>
        <w:pStyle w:val="null3"/>
        <w:ind w:firstLine="960"/>
      </w:pPr>
      <w:r>
        <w:rPr>
          <w:rFonts w:ascii="仿宋_GB2312" w:hAnsi="仿宋_GB2312" w:cs="仿宋_GB2312" w:eastAsia="仿宋_GB2312"/>
        </w:rPr>
        <w:t>详见附件：施工方案.pdf</w:t>
      </w:r>
    </w:p>
    <w:p>
      <w:pPr>
        <w:pStyle w:val="null3"/>
        <w:ind w:firstLine="960"/>
      </w:pPr>
      <w:r>
        <w:rPr>
          <w:rFonts w:ascii="仿宋_GB2312" w:hAnsi="仿宋_GB2312" w:cs="仿宋_GB2312" w:eastAsia="仿宋_GB2312"/>
        </w:rPr>
        <w:t>详见附件：施工质量保证措施.pdf</w:t>
      </w:r>
    </w:p>
    <w:p>
      <w:pPr>
        <w:pStyle w:val="null3"/>
        <w:ind w:firstLine="960"/>
      </w:pPr>
      <w:r>
        <w:rPr>
          <w:rFonts w:ascii="仿宋_GB2312" w:hAnsi="仿宋_GB2312" w:cs="仿宋_GB2312" w:eastAsia="仿宋_GB2312"/>
        </w:rPr>
        <w:t>详见附件：施工安全保证措施.pdf</w:t>
      </w:r>
    </w:p>
    <w:p>
      <w:pPr>
        <w:pStyle w:val="null3"/>
        <w:ind w:firstLine="960"/>
      </w:pPr>
      <w:r>
        <w:rPr>
          <w:rFonts w:ascii="仿宋_GB2312" w:hAnsi="仿宋_GB2312" w:cs="仿宋_GB2312" w:eastAsia="仿宋_GB2312"/>
        </w:rPr>
        <w:t>详见附件：工期保证措施.pdf</w:t>
      </w:r>
    </w:p>
    <w:p>
      <w:pPr>
        <w:pStyle w:val="null3"/>
        <w:ind w:firstLine="960"/>
      </w:pPr>
      <w:r>
        <w:rPr>
          <w:rFonts w:ascii="仿宋_GB2312" w:hAnsi="仿宋_GB2312" w:cs="仿宋_GB2312" w:eastAsia="仿宋_GB2312"/>
        </w:rPr>
        <w:t>详见附件：环境保护措施.pdf</w:t>
      </w:r>
    </w:p>
    <w:p>
      <w:pPr>
        <w:pStyle w:val="null3"/>
        <w:ind w:firstLine="960"/>
      </w:pPr>
      <w:r>
        <w:rPr>
          <w:rFonts w:ascii="仿宋_GB2312" w:hAnsi="仿宋_GB2312" w:cs="仿宋_GB2312" w:eastAsia="仿宋_GB2312"/>
        </w:rPr>
        <w:t>详见附件：施工过程中主要机具、设备配备情况.pdf</w:t>
      </w:r>
    </w:p>
    <w:p>
      <w:pPr>
        <w:pStyle w:val="null3"/>
        <w:ind w:firstLine="960"/>
      </w:pPr>
      <w:r>
        <w:rPr>
          <w:rFonts w:ascii="仿宋_GB2312" w:hAnsi="仿宋_GB2312" w:cs="仿宋_GB2312" w:eastAsia="仿宋_GB2312"/>
        </w:rPr>
        <w:t>详见附件：劳动力安排计划及劳务分包情况.pdf</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