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版本号：SXJC-HZ-202519.1B120250603001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汉中市南郑区陆生野生动物致害政府救助责任保险项目(二次)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SXJC-HZ-202519.1B1</w:t>
      </w:r>
      <w:r>
        <w:br/>
      </w:r>
      <w:r>
        <w:br/>
      </w:r>
      <w:r>
        <w:br/>
      </w:r>
    </w:p>
    <w:p>
      <w:pPr>
        <w:pStyle w:val="null3"/>
        <w:jc w:val="center"/>
        <w:outlineLvl w:val="2"/>
      </w:pPr>
      <w:r>
        <w:rPr>
          <w:rFonts w:ascii="仿宋_GB2312" w:hAnsi="仿宋_GB2312" w:cs="仿宋_GB2312" w:eastAsia="仿宋_GB2312"/>
          <w:sz w:val="28"/>
          <w:b/>
        </w:rPr>
        <w:t>汉中市南郑区秦巴生态保护中心</w:t>
      </w:r>
    </w:p>
    <w:p>
      <w:pPr>
        <w:pStyle w:val="null3"/>
        <w:jc w:val="center"/>
        <w:outlineLvl w:val="2"/>
      </w:pPr>
      <w:r>
        <w:rPr>
          <w:rFonts w:ascii="仿宋_GB2312" w:hAnsi="仿宋_GB2312" w:cs="仿宋_GB2312" w:eastAsia="仿宋_GB2312"/>
          <w:sz w:val="28"/>
          <w:b/>
        </w:rPr>
        <w:t>陕西加诚项目管理有限公司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陕西加诚项目管理有限公司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汉中市南郑区秦巴生态保护中心</w:t>
      </w:r>
      <w:r>
        <w:rPr>
          <w:rFonts w:ascii="仿宋_GB2312" w:hAnsi="仿宋_GB2312" w:cs="仿宋_GB2312" w:eastAsia="仿宋_GB2312"/>
        </w:rPr>
        <w:t>委托，拟对</w:t>
      </w:r>
      <w:r>
        <w:rPr>
          <w:rFonts w:ascii="仿宋_GB2312" w:hAnsi="仿宋_GB2312" w:cs="仿宋_GB2312" w:eastAsia="仿宋_GB2312"/>
        </w:rPr>
        <w:t>汉中市南郑区陆生野生动物致害政府救助责任保险项目(二次)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SXJC-HZ-202519.1B1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汉中市南郑区陆生野生动物致害政府救助责任保险项目(二次)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购买汉中市南郑区陆生野生动物致害政府救助责任保险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1、资质审查：供应商必须具有中国银行保险监督管理委员会（原中国保险监督管理委员会）颁发的《经营保险业务许可证》（承保方须具有野生动物致害政府救助责任保险及财产损失保险服务项目）。</w:t>
      </w:r>
    </w:p>
    <w:p>
      <w:pPr>
        <w:pStyle w:val="null3"/>
      </w:pPr>
      <w:r>
        <w:rPr>
          <w:rFonts w:ascii="仿宋_GB2312" w:hAnsi="仿宋_GB2312" w:cs="仿宋_GB2312" w:eastAsia="仿宋_GB2312"/>
        </w:rPr>
        <w:t>2、公司授权文件：若总公司不能参与磋商的，只能授权一家分支机构进行磋商；参加投标的分支机构须提供总公司授权分支机构授权证明文件。</w:t>
      </w:r>
    </w:p>
    <w:p>
      <w:pPr>
        <w:pStyle w:val="null3"/>
      </w:pPr>
      <w:r>
        <w:rPr>
          <w:rFonts w:ascii="仿宋_GB2312" w:hAnsi="仿宋_GB2312" w:cs="仿宋_GB2312" w:eastAsia="仿宋_GB2312"/>
        </w:rPr>
        <w:t>3、主体审查：具有独立承担民事责任能力的法人、其他组织或自然人，并出具合法有效的营业执照或事业单位法人证书等国家规定的相关证明，自然人参与的提供其身份证明。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4、法定代表人（或分支机构负责人）身份证明或授权委托书：法定代表人（或分支机构负责人）参加投标须提供《法定代表人（或分支机构负责人）身份证明》及身份证扫描件；法定代表人（或分支机构负责人）授权他人参加投标，须提供《法定代表人（或分支机构负责人）授权委托书》、委托代理人身份证扫描件。</w:t>
      </w:r>
    </w:p>
    <w:p>
      <w:pPr>
        <w:pStyle w:val="null3"/>
      </w:pPr>
      <w:r>
        <w:rPr>
          <w:rFonts w:ascii="仿宋_GB2312" w:hAnsi="仿宋_GB2312" w:cs="仿宋_GB2312" w:eastAsia="仿宋_GB2312"/>
        </w:rPr>
        <w:t>5、资格承诺：供应商提供《汉中市政府采购供应商资格承诺函》。</w:t>
      </w:r>
    </w:p>
    <w:p>
      <w:pPr>
        <w:pStyle w:val="null3"/>
      </w:pPr>
      <w:r>
        <w:rPr>
          <w:rFonts w:ascii="仿宋_GB2312" w:hAnsi="仿宋_GB2312" w:cs="仿宋_GB2312" w:eastAsia="仿宋_GB2312"/>
        </w:rPr>
        <w:t>6、本项目不接受联合体投标：本项目不接受联合体投标。提供声明函。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汉中市南郑区秦巴生态保护中心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汉中市南郑区汉山街道办事处南环路2号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邵先生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0916-5519262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陕西加诚项目管理有限公司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陕西省汉中市南郑区大河坎镇海韵丹桂园售楼部东侧三楼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0916-5308956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代理服务费收费标准：参照计价格【2011】534号文件以及【计价格[2002]1980号】招标代理服务收费标准计取。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汉中市南郑区秦巴生态保护中心</w:t>
      </w:r>
      <w:r>
        <w:rPr>
          <w:rFonts w:ascii="仿宋_GB2312" w:hAnsi="仿宋_GB2312" w:cs="仿宋_GB2312" w:eastAsia="仿宋_GB2312"/>
        </w:rPr>
        <w:t>和</w:t>
      </w:r>
      <w:r>
        <w:rPr>
          <w:rFonts w:ascii="仿宋_GB2312" w:hAnsi="仿宋_GB2312" w:cs="仿宋_GB2312" w:eastAsia="仿宋_GB2312"/>
        </w:rPr>
        <w:t>陕西加诚项目管理有限公司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汉中市南郑区秦巴生态保护中心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陕西加诚项目管理有限公司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汉中市南郑区秦巴生态保护中心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陕西加诚项目管理有限公司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联系人：陈女士</w:t>
      </w:r>
    </w:p>
    <w:p>
      <w:pPr>
        <w:pStyle w:val="null3"/>
      </w:pPr>
      <w:r>
        <w:rPr>
          <w:rFonts w:ascii="仿宋_GB2312" w:hAnsi="仿宋_GB2312" w:cs="仿宋_GB2312" w:eastAsia="仿宋_GB2312"/>
        </w:rPr>
        <w:t>联系电话：0916-5308956</w:t>
      </w:r>
    </w:p>
    <w:p>
      <w:pPr>
        <w:pStyle w:val="null3"/>
      </w:pPr>
      <w:r>
        <w:rPr>
          <w:rFonts w:ascii="仿宋_GB2312" w:hAnsi="仿宋_GB2312" w:cs="仿宋_GB2312" w:eastAsia="仿宋_GB2312"/>
        </w:rPr>
        <w:t>地址：汉中市南郑区大河坎镇海韵丹桂源三楼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购买汉中市南郑区陆生野生动物致害政府救助责任保险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其他保险服务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标的名称：其他保险服务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保险范围</w:t>
            </w:r>
            <w:r>
              <w:br/>
            </w:r>
            <w:r>
              <w:rPr>
                <w:rFonts w:ascii="仿宋_GB2312" w:hAnsi="仿宋_GB2312" w:cs="仿宋_GB2312" w:eastAsia="仿宋_GB2312"/>
                <w:sz w:val="21"/>
                <w:b/>
              </w:rPr>
              <w:t xml:space="preserve"> 1.致害动物种类：包含但不限于《国家重点保护陆生野生动物名录》《陕西省重点保护野生动物保护名录》以及《国家保护的有重要生态、科学、社会价值的陆生野生动物名录》中的野生动物种类。</w:t>
            </w:r>
            <w:r>
              <w:br/>
            </w:r>
            <w:r>
              <w:rPr>
                <w:rFonts w:ascii="仿宋_GB2312" w:hAnsi="仿宋_GB2312" w:cs="仿宋_GB2312" w:eastAsia="仿宋_GB2312"/>
                <w:sz w:val="21"/>
                <w:b/>
              </w:rPr>
              <w:t xml:space="preserve"> 2.人身伤害保障人群：全区所有在册的户籍人员以及其他在本区境内活动的流动人员。</w:t>
            </w:r>
            <w:r>
              <w:br/>
            </w:r>
            <w:r>
              <w:rPr>
                <w:rFonts w:ascii="仿宋_GB2312" w:hAnsi="仿宋_GB2312" w:cs="仿宋_GB2312" w:eastAsia="仿宋_GB2312"/>
                <w:sz w:val="21"/>
                <w:b/>
              </w:rPr>
              <w:t xml:space="preserve"> 3.致害损失范围：全区农户以及在本区境内生产经营的种植业作物或养殖的牲畜家禽遭受野生动物侵害致死的损失责任。包括但不限于人身伤亡、农作物损毁、经济林木损害、家禽家畜伤亡等因陆生野生动物直接造成的损失。</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保险责任与理赔程序</w:t>
            </w:r>
            <w:r>
              <w:br/>
            </w:r>
            <w:r>
              <w:rPr>
                <w:rFonts w:ascii="仿宋_GB2312" w:hAnsi="仿宋_GB2312" w:cs="仿宋_GB2312" w:eastAsia="仿宋_GB2312"/>
                <w:sz w:val="21"/>
              </w:rPr>
              <w:t xml:space="preserve"> 1.保险责任：在保险期间内，被保险人在保险区域内，因野生动物造成保险标的损失的，保险公司将按照合同约定承担赔偿责任。</w:t>
            </w:r>
            <w:r>
              <w:br/>
            </w:r>
            <w:r>
              <w:rPr>
                <w:rFonts w:ascii="仿宋_GB2312" w:hAnsi="仿宋_GB2312" w:cs="仿宋_GB2312" w:eastAsia="仿宋_GB2312"/>
                <w:sz w:val="21"/>
              </w:rPr>
              <w:t xml:space="preserve"> 2.理赔程序</w:t>
            </w:r>
            <w:r>
              <w:br/>
            </w:r>
            <w:r>
              <w:rPr>
                <w:rFonts w:ascii="仿宋_GB2312" w:hAnsi="仿宋_GB2312" w:cs="仿宋_GB2312" w:eastAsia="仿宋_GB2312"/>
                <w:sz w:val="21"/>
              </w:rPr>
              <w:t xml:space="preserve"> ——报案：被保险人在发生野生动物致害事件后，应及时向保险公司报案，并提供详细的事件信息，包括致害时间、地点、损失情况等信息。</w:t>
            </w:r>
            <w:r>
              <w:br/>
            </w:r>
            <w:r>
              <w:rPr>
                <w:rFonts w:ascii="仿宋_GB2312" w:hAnsi="仿宋_GB2312" w:cs="仿宋_GB2312" w:eastAsia="仿宋_GB2312"/>
                <w:sz w:val="21"/>
              </w:rPr>
              <w:t xml:space="preserve"> ——查勘定损：保险公司接到报案后，应在规定时间内派工作人员到现场查勘，对损失情况进行核实和评估。对于复杂案件或损失较大的情况，可邀请相关专家参与定损。</w:t>
            </w:r>
            <w:r>
              <w:br/>
            </w:r>
            <w:r>
              <w:rPr>
                <w:rFonts w:ascii="仿宋_GB2312" w:hAnsi="仿宋_GB2312" w:cs="仿宋_GB2312" w:eastAsia="仿宋_GB2312"/>
                <w:sz w:val="21"/>
              </w:rPr>
              <w:t xml:space="preserve"> ——理赔申请：被保险人需配合保险公司收集或提交理赔相关材料。</w:t>
            </w:r>
            <w:r>
              <w:br/>
            </w:r>
            <w:r>
              <w:rPr>
                <w:rFonts w:ascii="仿宋_GB2312" w:hAnsi="仿宋_GB2312" w:cs="仿宋_GB2312" w:eastAsia="仿宋_GB2312"/>
                <w:sz w:val="21"/>
              </w:rPr>
              <w:t xml:space="preserve"> ——审核赔付：保险公司对理赔材料进行审核，在确定保险责任和损失金额后，按照合同约定及时支付赔款。</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赔偿标准</w:t>
            </w:r>
            <w:r>
              <w:br/>
            </w:r>
            <w:r>
              <w:rPr>
                <w:rFonts w:ascii="仿宋_GB2312" w:hAnsi="仿宋_GB2312" w:cs="仿宋_GB2312" w:eastAsia="仿宋_GB2312"/>
                <w:sz w:val="21"/>
              </w:rPr>
              <w:t xml:space="preserve"> 1.理赔项目及赔偿限额标准</w:t>
            </w:r>
            <w:r>
              <w:br/>
            </w:r>
            <w:r>
              <w:rPr>
                <w:rFonts w:ascii="仿宋_GB2312" w:hAnsi="仿宋_GB2312" w:cs="仿宋_GB2312" w:eastAsia="仿宋_GB2312"/>
                <w:sz w:val="21"/>
              </w:rPr>
              <w:t xml:space="preserve"> （1）累计赔偿责任限额1000万元。</w:t>
            </w:r>
            <w:r>
              <w:br/>
            </w:r>
            <w:r>
              <w:rPr>
                <w:rFonts w:ascii="仿宋_GB2312" w:hAnsi="仿宋_GB2312" w:cs="仿宋_GB2312" w:eastAsia="仿宋_GB2312"/>
                <w:sz w:val="21"/>
              </w:rPr>
              <w:t xml:space="preserve"> （2）每次事故责任限额200万元。其中：①每次事故每人人身伤亡、残疾责任限额20万元；②每次事故每人医疗费用责任限额2万元。</w:t>
            </w:r>
            <w:r>
              <w:br/>
            </w:r>
            <w:r>
              <w:rPr>
                <w:rFonts w:ascii="仿宋_GB2312" w:hAnsi="仿宋_GB2312" w:cs="仿宋_GB2312" w:eastAsia="仿宋_GB2312"/>
                <w:sz w:val="21"/>
              </w:rPr>
              <w:t xml:space="preserve"> （3）每次事故财产损失责任险额：专业合作社或农业公司5万元/户，普通农户1万元/户。</w:t>
            </w:r>
            <w:r>
              <w:br/>
            </w:r>
            <w:r>
              <w:rPr>
                <w:rFonts w:ascii="仿宋_GB2312" w:hAnsi="仿宋_GB2312" w:cs="仿宋_GB2312" w:eastAsia="仿宋_GB2312"/>
                <w:sz w:val="21"/>
              </w:rPr>
              <w:t xml:space="preserve"> （4）理赔项目及赔偿限额标准参照2024年理赔项目及赔偿限额标准一览表，最终标准以2025年的保单为准。</w:t>
            </w:r>
          </w:p>
          <w:p>
            <w:pPr>
              <w:pStyle w:val="null3"/>
              <w:jc w:val="center"/>
            </w:pPr>
            <w:r>
              <w:rPr>
                <w:rFonts w:ascii="仿宋_GB2312" w:hAnsi="仿宋_GB2312" w:cs="仿宋_GB2312" w:eastAsia="仿宋_GB2312"/>
                <w:sz w:val="21"/>
              </w:rPr>
              <w:t>理赔项目及赔偿限额标准一览表</w:t>
            </w:r>
          </w:p>
          <w:tbl>
            <w:tblPr>
              <w:tblBorders>
                <w:top w:val="none" w:color="000000" w:sz="4"/>
                <w:left w:val="none" w:color="000000" w:sz="4"/>
                <w:bottom w:val="none" w:color="000000" w:sz="4"/>
                <w:right w:val="none" w:color="000000" w:sz="4"/>
                <w:insideH w:val="none"/>
                <w:insideV w:val="none"/>
              </w:tblBorders>
            </w:tblPr>
            <w:tblGrid>
              <w:gridCol w:w="518"/>
              <w:gridCol w:w="700"/>
              <w:gridCol w:w="501"/>
              <w:gridCol w:w="671"/>
              <w:gridCol w:w="790"/>
            </w:tblGrid>
            <w:tr>
              <w:tc>
                <w:tcPr>
                  <w:tcW w:type="dxa" w:w="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保障责任</w:t>
                  </w:r>
                </w:p>
                <w:p>
                  <w:pPr>
                    <w:pStyle w:val="null3"/>
                    <w:jc w:val="center"/>
                  </w:pPr>
                  <w:r>
                    <w:rPr>
                      <w:rFonts w:ascii="仿宋_GB2312" w:hAnsi="仿宋_GB2312" w:cs="仿宋_GB2312" w:eastAsia="仿宋_GB2312"/>
                      <w:sz w:val="21"/>
                    </w:rPr>
                    <w:t>及项目</w:t>
                  </w: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保障对象</w:t>
                  </w:r>
                </w:p>
                <w:p>
                  <w:pPr>
                    <w:pStyle w:val="null3"/>
                    <w:jc w:val="center"/>
                  </w:pPr>
                  <w:r>
                    <w:rPr>
                      <w:rFonts w:ascii="仿宋_GB2312" w:hAnsi="仿宋_GB2312" w:cs="仿宋_GB2312" w:eastAsia="仿宋_GB2312"/>
                      <w:sz w:val="21"/>
                    </w:rPr>
                    <w:t>及范围</w:t>
                  </w:r>
                </w:p>
              </w:tc>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每次事故</w:t>
                  </w:r>
                </w:p>
                <w:p>
                  <w:pPr>
                    <w:pStyle w:val="null3"/>
                    <w:jc w:val="center"/>
                  </w:pPr>
                  <w:r>
                    <w:rPr>
                      <w:rFonts w:ascii="仿宋_GB2312" w:hAnsi="仿宋_GB2312" w:cs="仿宋_GB2312" w:eastAsia="仿宋_GB2312"/>
                      <w:sz w:val="21"/>
                    </w:rPr>
                    <w:t>赔偿限额</w:t>
                  </w:r>
                </w:p>
              </w:tc>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每次事故免赔</w:t>
                  </w:r>
                </w:p>
              </w:tc>
              <w:tc>
                <w:tcPr>
                  <w:tcW w:type="dxa" w:w="7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  注</w:t>
                  </w: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人身伤害</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伤残、死亡</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20万元/人</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7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医保报销后的医疗费凭报销分割单和发票复印件赔付。</w:t>
                  </w:r>
                </w:p>
              </w:tc>
            </w:tr>
            <w:tr>
              <w:tc>
                <w:tcPr>
                  <w:tcW w:type="dxa" w:w="518"/>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医疗费用</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2万元/人</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每次事故免赔200元后按国家医保范围内的85%赔付</w:t>
                  </w:r>
                </w:p>
              </w:tc>
              <w:tc>
                <w:tcPr>
                  <w:tcW w:type="dxa" w:w="790"/>
                  <w:vMerge/>
                  <w:tcBorders>
                    <w:top w:val="none" w:color="000000" w:sz="4"/>
                    <w:left w:val="single" w:color="000000" w:sz="4"/>
                    <w:bottom w:val="single" w:color="000000" w:sz="4"/>
                    <w:right w:val="single" w:color="000000" w:sz="4"/>
                  </w:tcBorders>
                </w:tcP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一般农作物</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玉米、小麦、水稻、油菜、土豆、大豆以及瓜果、魔芋等</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600元/亩</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根据实际损失面积、损失程度以及不同生长期对应的赔偿比例确定赔偿金额。</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中药材</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天麻、黄精、猪苓等中药材</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2000元/亩</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其他一般中药材在2000元/亩范围内参照市价协商处理。</w:t>
                  </w: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养殖类</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仔猪</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200元/头</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30公斤内</w:t>
                  </w:r>
                </w:p>
              </w:tc>
            </w:tr>
            <w:tr>
              <w:tc>
                <w:tcPr>
                  <w:tcW w:type="dxa" w:w="518"/>
                  <w:vMerge/>
                  <w:tcBorders>
                    <w:top w:val="none" w:color="000000" w:sz="4"/>
                    <w:left w:val="single" w:color="000000" w:sz="4"/>
                    <w:bottom w:val="single" w:color="000000" w:sz="4"/>
                    <w:right w:val="single" w:color="000000" w:sz="4"/>
                  </w:tcBorders>
                </w:tcPr>
                <w:p/>
              </w:tc>
              <w:tc>
                <w:tcPr>
                  <w:tcW w:type="dxa" w:w="7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育肥猪</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400元/头</w:t>
                  </w:r>
                </w:p>
              </w:tc>
              <w:tc>
                <w:tcPr>
                  <w:tcW w:type="dxa" w:w="6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60公斤以下</w:t>
                  </w:r>
                </w:p>
              </w:tc>
            </w:tr>
            <w:tr>
              <w:tc>
                <w:tcPr>
                  <w:tcW w:type="dxa" w:w="518"/>
                  <w:vMerge/>
                  <w:tcBorders>
                    <w:top w:val="none" w:color="000000" w:sz="4"/>
                    <w:left w:val="single" w:color="000000" w:sz="4"/>
                    <w:bottom w:val="single" w:color="000000" w:sz="4"/>
                    <w:right w:val="single" w:color="000000" w:sz="4"/>
                  </w:tcBorders>
                </w:tcPr>
                <w:p/>
              </w:tc>
              <w:tc>
                <w:tcPr>
                  <w:tcW w:type="dxa" w:w="700"/>
                  <w:vMerge/>
                  <w:tcBorders>
                    <w:top w:val="none" w:color="000000" w:sz="4"/>
                    <w:left w:val="single" w:color="000000" w:sz="4"/>
                    <w:bottom w:val="single" w:color="000000" w:sz="4"/>
                    <w:right w:val="single" w:color="000000" w:sz="4"/>
                  </w:tcBorders>
                </w:tcP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600元/头</w:t>
                  </w:r>
                </w:p>
              </w:tc>
              <w:tc>
                <w:tcPr>
                  <w:tcW w:type="dxa" w:w="671"/>
                  <w:vMerge/>
                  <w:tcBorders>
                    <w:top w:val="none" w:color="000000" w:sz="4"/>
                    <w:left w:val="single" w:color="000000" w:sz="4"/>
                    <w:bottom w:val="single" w:color="000000" w:sz="4"/>
                    <w:right w:val="single" w:color="000000" w:sz="4"/>
                  </w:tcBorders>
                </w:tcP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60公斤以上</w:t>
                  </w:r>
                </w:p>
              </w:tc>
            </w:tr>
            <w:tr>
              <w:tc>
                <w:tcPr>
                  <w:tcW w:type="dxa" w:w="518"/>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能繁母猪</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800元/头</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18"/>
                  <w:vMerge/>
                  <w:tcBorders>
                    <w:top w:val="none" w:color="000000" w:sz="4"/>
                    <w:left w:val="single" w:color="000000" w:sz="4"/>
                    <w:bottom w:val="single" w:color="000000" w:sz="4"/>
                    <w:right w:val="single" w:color="000000" w:sz="4"/>
                  </w:tcBorders>
                </w:tcP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中蜂</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500元/箱</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累计赔付不超过</w:t>
                  </w:r>
                </w:p>
                <w:p>
                  <w:pPr>
                    <w:pStyle w:val="null3"/>
                    <w:jc w:val="both"/>
                  </w:pPr>
                  <w:r>
                    <w:rPr>
                      <w:rFonts w:ascii="仿宋_GB2312" w:hAnsi="仿宋_GB2312" w:cs="仿宋_GB2312" w:eastAsia="仿宋_GB2312"/>
                      <w:sz w:val="21"/>
                    </w:rPr>
                    <w:t>5000元/户·年</w:t>
                  </w:r>
                </w:p>
              </w:tc>
            </w:tr>
            <w:tr>
              <w:tc>
                <w:tcPr>
                  <w:tcW w:type="dxa" w:w="518"/>
                  <w:vMerge/>
                  <w:tcBorders>
                    <w:top w:val="none" w:color="000000" w:sz="4"/>
                    <w:left w:val="single" w:color="000000" w:sz="4"/>
                    <w:bottom w:val="single" w:color="000000" w:sz="4"/>
                    <w:right w:val="single" w:color="000000" w:sz="4"/>
                  </w:tcBorders>
                </w:tcPr>
                <w:p/>
              </w:tc>
              <w:tc>
                <w:tcPr>
                  <w:tcW w:type="dxa" w:w="7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牛</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1000元/头</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齿龄2年以下</w:t>
                  </w:r>
                </w:p>
              </w:tc>
            </w:tr>
            <w:tr>
              <w:tc>
                <w:tcPr>
                  <w:tcW w:type="dxa" w:w="518"/>
                  <w:vMerge/>
                  <w:tcBorders>
                    <w:top w:val="none" w:color="000000" w:sz="4"/>
                    <w:left w:val="single" w:color="000000" w:sz="4"/>
                    <w:bottom w:val="single" w:color="000000" w:sz="4"/>
                    <w:right w:val="single" w:color="000000" w:sz="4"/>
                  </w:tcBorders>
                </w:tcPr>
                <w:p/>
              </w:tc>
              <w:tc>
                <w:tcPr>
                  <w:tcW w:type="dxa" w:w="700"/>
                  <w:vMerge/>
                  <w:tcBorders>
                    <w:top w:val="none" w:color="000000" w:sz="4"/>
                    <w:left w:val="single" w:color="000000" w:sz="4"/>
                    <w:bottom w:val="single" w:color="000000" w:sz="4"/>
                    <w:right w:val="single" w:color="000000" w:sz="4"/>
                  </w:tcBorders>
                </w:tcP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2000元/头</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齿龄2年以上</w:t>
                  </w:r>
                </w:p>
              </w:tc>
            </w:tr>
            <w:tr>
              <w:tc>
                <w:tcPr>
                  <w:tcW w:type="dxa" w:w="518"/>
                  <w:vMerge/>
                  <w:tcBorders>
                    <w:top w:val="none" w:color="000000" w:sz="4"/>
                    <w:left w:val="single" w:color="000000" w:sz="4"/>
                    <w:bottom w:val="single" w:color="000000" w:sz="4"/>
                    <w:right w:val="single" w:color="000000" w:sz="4"/>
                  </w:tcBorders>
                </w:tcPr>
                <w:p/>
              </w:tc>
              <w:tc>
                <w:tcPr>
                  <w:tcW w:type="dxa" w:w="7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羊</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400元/头</w:t>
                  </w:r>
                </w:p>
              </w:tc>
              <w:tc>
                <w:tcPr>
                  <w:tcW w:type="dxa" w:w="6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齿龄1.5年以下</w:t>
                  </w:r>
                </w:p>
              </w:tc>
            </w:tr>
            <w:tr>
              <w:tc>
                <w:tcPr>
                  <w:tcW w:type="dxa" w:w="518"/>
                  <w:vMerge/>
                  <w:tcBorders>
                    <w:top w:val="none" w:color="000000" w:sz="4"/>
                    <w:left w:val="single" w:color="000000" w:sz="4"/>
                    <w:bottom w:val="single" w:color="000000" w:sz="4"/>
                    <w:right w:val="single" w:color="000000" w:sz="4"/>
                  </w:tcBorders>
                </w:tcPr>
                <w:p/>
              </w:tc>
              <w:tc>
                <w:tcPr>
                  <w:tcW w:type="dxa" w:w="700"/>
                  <w:vMerge/>
                  <w:tcBorders>
                    <w:top w:val="none" w:color="000000" w:sz="4"/>
                    <w:left w:val="single" w:color="000000" w:sz="4"/>
                    <w:bottom w:val="single" w:color="000000" w:sz="4"/>
                    <w:right w:val="single" w:color="000000" w:sz="4"/>
                  </w:tcBorders>
                </w:tcP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800元/头</w:t>
                  </w:r>
                </w:p>
              </w:tc>
              <w:tc>
                <w:tcPr>
                  <w:tcW w:type="dxa" w:w="671"/>
                  <w:vMerge/>
                  <w:tcBorders>
                    <w:top w:val="none" w:color="000000" w:sz="4"/>
                    <w:left w:val="single" w:color="000000" w:sz="4"/>
                    <w:bottom w:val="single" w:color="000000" w:sz="4"/>
                    <w:right w:val="single" w:color="000000" w:sz="4"/>
                  </w:tcBorders>
                </w:tcP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齿龄1.5年以上</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家禽类</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肉（鸡、鸭、鹅）、仔鸡（鸡、鸭、鹅）</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30元/只</w:t>
                  </w:r>
                </w:p>
              </w:tc>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每次受损3只以上立案赔付</w:t>
                  </w:r>
                </w:p>
              </w:tc>
              <w:tc>
                <w:tcPr>
                  <w:tcW w:type="dxa" w:w="7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理赔时限</w:t>
            </w:r>
            <w:r>
              <w:br/>
            </w:r>
            <w:r>
              <w:rPr>
                <w:rFonts w:ascii="仿宋_GB2312" w:hAnsi="仿宋_GB2312" w:cs="仿宋_GB2312" w:eastAsia="仿宋_GB2312"/>
                <w:sz w:val="21"/>
              </w:rPr>
              <w:t xml:space="preserve"> 对于被保险人的报案及索赔申请，保险公司均须迅速处理，实行理赔时限制。</w:t>
            </w:r>
            <w:r>
              <w:br/>
            </w:r>
            <w:r>
              <w:rPr>
                <w:rFonts w:ascii="仿宋_GB2312" w:hAnsi="仿宋_GB2312" w:cs="仿宋_GB2312" w:eastAsia="仿宋_GB2312"/>
                <w:sz w:val="21"/>
              </w:rPr>
              <w:t xml:space="preserve"> 1.估损金额在 3 千元以下（含 3 千元）的赔案，不超过 5 个工作日赔付；</w:t>
            </w:r>
            <w:r>
              <w:br/>
            </w:r>
            <w:r>
              <w:rPr>
                <w:rFonts w:ascii="仿宋_GB2312" w:hAnsi="仿宋_GB2312" w:cs="仿宋_GB2312" w:eastAsia="仿宋_GB2312"/>
                <w:sz w:val="21"/>
              </w:rPr>
              <w:t xml:space="preserve"> 2.估损金额在 3 千元以上至 1 万元（含 1 万元）的，不超过 10个工作日赔付；</w:t>
            </w:r>
            <w:r>
              <w:br/>
            </w:r>
            <w:r>
              <w:rPr>
                <w:rFonts w:ascii="仿宋_GB2312" w:hAnsi="仿宋_GB2312" w:cs="仿宋_GB2312" w:eastAsia="仿宋_GB2312"/>
                <w:sz w:val="21"/>
              </w:rPr>
              <w:t xml:space="preserve"> 3.估损金额在 1 万元以上的，不超过 15 个工作日赔付。</w:t>
            </w:r>
            <w:r>
              <w:br/>
            </w:r>
            <w:r>
              <w:rPr>
                <w:rFonts w:ascii="仿宋_GB2312" w:hAnsi="仿宋_GB2312" w:cs="仿宋_GB2312" w:eastAsia="仿宋_GB2312"/>
                <w:sz w:val="21"/>
              </w:rPr>
              <w:t xml:space="preserve"> 4.对于不属于保险责任的案件，保险公司应在接到被保险人赔偿请求，认真审核，征得投保人同意后，3 个工作日内向其发出《拒赔通知书》。</w:t>
            </w:r>
            <w:r>
              <w:br/>
            </w:r>
            <w:r>
              <w:rPr>
                <w:rFonts w:ascii="仿宋_GB2312" w:hAnsi="仿宋_GB2312" w:cs="仿宋_GB2312" w:eastAsia="仿宋_GB2312"/>
                <w:sz w:val="21"/>
              </w:rPr>
              <w:t xml:space="preserve"> 如赔款支付时间超过上述规定时限，每超一日以未支付的赔偿金额为基数按 0.5%计算超过时间的违约金。</w:t>
            </w:r>
            <w:r>
              <w:br/>
            </w:r>
            <w:r>
              <w:rPr>
                <w:rFonts w:ascii="仿宋_GB2312" w:hAnsi="仿宋_GB2312" w:cs="仿宋_GB2312" w:eastAsia="仿宋_GB2312"/>
                <w:sz w:val="21"/>
              </w:rPr>
              <w:t xml:space="preserve"> 违约金=赔款金额×0.5%×天数</w:t>
            </w:r>
            <w:r>
              <w:br/>
            </w:r>
            <w:r>
              <w:rPr>
                <w:rFonts w:ascii="仿宋_GB2312" w:hAnsi="仿宋_GB2312" w:cs="仿宋_GB2312" w:eastAsia="仿宋_GB2312"/>
                <w:sz w:val="21"/>
              </w:rPr>
              <w:t xml:space="preserve"> 保险公司自完整的索赔资料签收之日起 20 日内未能确定赔偿金额的，应当根据已有证明和资料可以确定的最低数额先予支付；待最终确定赔偿金额和赔付处理意见后，保险公司应当支付相应的差额。</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0"/>
              <w:jc w:val="left"/>
            </w:pPr>
            <w:r>
              <w:rPr>
                <w:rFonts w:ascii="仿宋_GB2312" w:hAnsi="仿宋_GB2312" w:cs="仿宋_GB2312" w:eastAsia="仿宋_GB2312"/>
                <w:sz w:val="24"/>
              </w:rPr>
              <w:t>理赔方式</w:t>
            </w:r>
          </w:p>
          <w:p>
            <w:pPr>
              <w:pStyle w:val="null3"/>
              <w:ind w:firstLine="480"/>
              <w:jc w:val="left"/>
            </w:pPr>
            <w:r>
              <w:rPr>
                <w:rFonts w:ascii="仿宋_GB2312" w:hAnsi="仿宋_GB2312" w:cs="仿宋_GB2312" w:eastAsia="仿宋_GB2312"/>
                <w:sz w:val="24"/>
              </w:rPr>
              <w:t>1.保险公司确保将保险赔款足额赔付给受害农户。</w:t>
            </w:r>
          </w:p>
          <w:p>
            <w:pPr>
              <w:pStyle w:val="null3"/>
              <w:ind w:firstLine="480"/>
              <w:jc w:val="left"/>
            </w:pPr>
            <w:r>
              <w:rPr>
                <w:rFonts w:ascii="仿宋_GB2312" w:hAnsi="仿宋_GB2312" w:cs="仿宋_GB2312" w:eastAsia="仿宋_GB2312"/>
                <w:sz w:val="24"/>
              </w:rPr>
              <w:t>2.本保险原则上以银行转账的形式支付赔款，如确需以现金形式支付赔款的，应由被保险人或受害人在赔款支付清单或赔款收据上签字或以其他方式确认。</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供应商自行安排</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供应商自行安排</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保单不得注销条款 兹经双方同意，被保险人可以随时通知保险人注销本保险单，在此情况下，本公司按日费率收取自保险单开始之日起的已生效保险费。 保险人不得注销本保险单。 本保险单所载其他条件不变。</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乙方根据经甲方确认的保险条件，出具正式保险单。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预算资金下达至投保人账户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就本协议一切有关的争议应通过友好协商解决。如果协商不成，可向甲方所在地人民法院提出诉讼。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资质审查</w:t>
            </w:r>
          </w:p>
        </w:tc>
        <w:tc>
          <w:tcPr>
            <w:tcW w:type="dxa" w:w="3322"/>
          </w:tcPr>
          <w:p>
            <w:pPr>
              <w:pStyle w:val="null3"/>
            </w:pPr>
            <w:r>
              <w:rPr>
                <w:rFonts w:ascii="仿宋_GB2312" w:hAnsi="仿宋_GB2312" w:cs="仿宋_GB2312" w:eastAsia="仿宋_GB2312"/>
              </w:rPr>
              <w:t>供应商必须具有中国银行保险监督管理委员会（原中国保险监督管理委员会）颁发的《经营保险业务许可证》（承保方须具有野生动物致害政府救助责任保险及财产损失保险服务项目）。</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公司授权文件</w:t>
            </w:r>
          </w:p>
        </w:tc>
        <w:tc>
          <w:tcPr>
            <w:tcW w:type="dxa" w:w="3322"/>
          </w:tcPr>
          <w:p>
            <w:pPr>
              <w:pStyle w:val="null3"/>
            </w:pPr>
            <w:r>
              <w:rPr>
                <w:rFonts w:ascii="仿宋_GB2312" w:hAnsi="仿宋_GB2312" w:cs="仿宋_GB2312" w:eastAsia="仿宋_GB2312"/>
              </w:rPr>
              <w:t>若总公司不能参与磋商的，只能授权一家分支机构进行磋商；参加投标的分支机构须提供总公司授权分支机构授权证明文件。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主体审查</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法定代表人（或分支机构负责人）身份证明或授权委托书</w:t>
            </w:r>
          </w:p>
        </w:tc>
        <w:tc>
          <w:tcPr>
            <w:tcW w:type="dxa" w:w="3322"/>
          </w:tcPr>
          <w:p>
            <w:pPr>
              <w:pStyle w:val="null3"/>
            </w:pPr>
            <w:r>
              <w:rPr>
                <w:rFonts w:ascii="仿宋_GB2312" w:hAnsi="仿宋_GB2312" w:cs="仿宋_GB2312" w:eastAsia="仿宋_GB2312"/>
              </w:rPr>
              <w:t>法定代表人（或分支机构负责人）参加投标须提供《法定代表人（或分支机构负责人）身份证明》及身份证扫描件；法定代表人（或分支机构负责人）授权他人参加投标，须提供《法定代表人（或分支机构负责人）授权委托书》、委托代理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符合磋商文件要求，响应文件内容齐全、无遗漏</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磋商报价表（首次）</w:t>
            </w:r>
          </w:p>
        </w:tc>
        <w:tc>
          <w:tcPr>
            <w:tcW w:type="dxa" w:w="3322"/>
          </w:tcPr>
          <w:p>
            <w:pPr>
              <w:pStyle w:val="null3"/>
            </w:pPr>
            <w:r>
              <w:rPr>
                <w:rFonts w:ascii="仿宋_GB2312" w:hAnsi="仿宋_GB2312" w:cs="仿宋_GB2312" w:eastAsia="仿宋_GB2312"/>
              </w:rPr>
              <w:t>（1）磋商报价表填写符合要求； （2）计量单位、报价货币均符合磋商文件要求； （3）磋商报价未超出采购预算或磋商文件规定的最高限价。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偿付能力</w:t>
            </w:r>
          </w:p>
        </w:tc>
        <w:tc>
          <w:tcPr>
            <w:tcW w:type="dxa" w:w="2492"/>
          </w:tcPr>
          <w:p>
            <w:pPr>
              <w:pStyle w:val="null3"/>
            </w:pPr>
            <w:r>
              <w:rPr>
                <w:rFonts w:ascii="仿宋_GB2312" w:hAnsi="仿宋_GB2312" w:cs="仿宋_GB2312" w:eastAsia="仿宋_GB2312"/>
              </w:rPr>
              <w:t>根据供应商偿付能力的高低情况进行评分： （1）最近连续五年或以上偿付能力充足率≥100%，得6分； （2）最近连续四年偿付能力充足率≥100%,得5分； （3）最近连续三年偿付能力充足率≥100%,得4分； （4）最近连续一年偿付能力充足率≥100%,得3分； （5）最近一年偿付能力充足率大≥100%, 得1分； （6）其他不得分。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供应商偿付能力情况表.docx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提供供应商2022年以来同类项目的业绩，每提供一个得2分，最高得6分，未提供不得分。（应提供中标通知书、保险单或保险合同关键页扫描件）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人员、设备配置</w:t>
            </w:r>
          </w:p>
        </w:tc>
        <w:tc>
          <w:tcPr>
            <w:tcW w:type="dxa" w:w="2492"/>
          </w:tcPr>
          <w:p>
            <w:pPr>
              <w:pStyle w:val="null3"/>
            </w:pPr>
            <w:r>
              <w:rPr>
                <w:rFonts w:ascii="仿宋_GB2312" w:hAnsi="仿宋_GB2312" w:cs="仿宋_GB2312" w:eastAsia="仿宋_GB2312"/>
              </w:rPr>
              <w:t>1、供应商拟投入本项目的专职理赔服务人员在2人的基础上，每增加一人的加2分，最高得6分。 注：专职人员必须是供应商在册人员并提供相关证明文件扫描件,包含但不限于社保缴纳凭证、人员合同、人员简介等。 2、供应商拟投入本项目的自有车辆，每一辆得2分，最高得4分。 注：须提供车辆行驶证或购车发票扫描件。（车辆行驶证或购车发票须与供应商一致，否则不得分）。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拟投入本项目人员、车辆配置情况表.docx</w:t>
            </w:r>
          </w:p>
        </w:tc>
      </w:tr>
      <w:tr>
        <w:tc>
          <w:tcPr>
            <w:tcW w:type="dxa" w:w="831"/>
            <w:vMerge/>
          </w:tcPr>
          <w:p/>
        </w:tc>
        <w:tc>
          <w:tcPr>
            <w:tcW w:type="dxa" w:w="1661"/>
          </w:tcPr>
          <w:p>
            <w:pPr>
              <w:pStyle w:val="null3"/>
            </w:pPr>
            <w:r>
              <w:rPr>
                <w:rFonts w:ascii="仿宋_GB2312" w:hAnsi="仿宋_GB2312" w:cs="仿宋_GB2312" w:eastAsia="仿宋_GB2312"/>
              </w:rPr>
              <w:t>优惠条件</w:t>
            </w:r>
          </w:p>
        </w:tc>
        <w:tc>
          <w:tcPr>
            <w:tcW w:type="dxa" w:w="2492"/>
          </w:tcPr>
          <w:p>
            <w:pPr>
              <w:pStyle w:val="null3"/>
            </w:pPr>
            <w:r>
              <w:rPr>
                <w:rFonts w:ascii="仿宋_GB2312" w:hAnsi="仿宋_GB2312" w:cs="仿宋_GB2312" w:eastAsia="仿宋_GB2312"/>
              </w:rPr>
              <w:t>根据供应商提供更有利于本项目投保、理赔等条款，特色服务及增值服务等优惠条件的数量及实现程度进行评分： 每提供一条得2分，最高得6分，未提供不得分。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响应及时效承诺</w:t>
            </w:r>
          </w:p>
        </w:tc>
        <w:tc>
          <w:tcPr>
            <w:tcW w:type="dxa" w:w="2492"/>
          </w:tcPr>
          <w:p>
            <w:pPr>
              <w:pStyle w:val="null3"/>
            </w:pPr>
            <w:r>
              <w:rPr>
                <w:rFonts w:ascii="仿宋_GB2312" w:hAnsi="仿宋_GB2312" w:cs="仿宋_GB2312" w:eastAsia="仿宋_GB2312"/>
              </w:rPr>
              <w:t>1、供应商在服务方案中承诺接到报案电话后，在60分钟(不含)以内查勘人员赶赴现场查勘调解的，得5分。（未提供相关承诺不得分） 2、根据供应商在服务方案中承诺的赔付义务履行时效进行打分： （1）承诺3个工作日内赔付的，得5分； （2）承诺5个工作日内赔付的，得4分； （3）承诺7个工作日或以上赔付的，得3分。 （4）未提供相关承诺不得分。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根据供应商制定的针对采购人、投保人(被保险人）关于保险内容及理赔流程的培训计划（包括：培训次数、培训人数、培训时间、培训内容等）进行评分： （1）计划详细具体、覆盖面较广、针对性强，得9-12分； （2）计划较详细具体，覆盖面较广、针对性较强，得6-9分； （3）计划不详细具体，覆盖面不广、针对性不强，得2-6分； （4）未提供培训计划不得分。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根据供应商制定的针对本项目保险特点的整体服务方案进行评分，方案应包括：①服务宗旨定位；②服务目标计划；③服务理念及特色；④服务保障措施；⑤服务管理模式及重难点分析。 （1）服务方案详细具体、实施思路清晰、内容全面响应采购项目需求，得8-11分； （2）有服务方案,内容较好响应采购项目需求，得4-8分； （3）服务方案有缺项漏项,内容不完整或不能全部响应采购项目需求，得1-4分； （4）未提供服务方案不得分。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承保服务方案</w:t>
            </w:r>
          </w:p>
        </w:tc>
        <w:tc>
          <w:tcPr>
            <w:tcW w:type="dxa" w:w="2492"/>
          </w:tcPr>
          <w:p>
            <w:pPr>
              <w:pStyle w:val="null3"/>
            </w:pPr>
            <w:r>
              <w:rPr>
                <w:rFonts w:ascii="仿宋_GB2312" w:hAnsi="仿宋_GB2312" w:cs="仿宋_GB2312" w:eastAsia="仿宋_GB2312"/>
              </w:rPr>
              <w:t>根据供应商制定的承保服务方案进行评分，方案应包括：①救助责任及范围；②保险限额标准；③投保时效。 （1）承保方案详细具体、保费标准清晰合理、投保时效符合实际，内容全面响应采购项目需求，得8-12分； （2）有承保方案，保费标准清晰合理、内容较好响应采购项目需求，得4-8分； （3）承保方案有缺项漏项,内容不完整或不能全部响应采购项目需求，得1-4分； （4）未提供承保方案不得分。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理赔服务方案</w:t>
            </w:r>
          </w:p>
        </w:tc>
        <w:tc>
          <w:tcPr>
            <w:tcW w:type="dxa" w:w="2492"/>
          </w:tcPr>
          <w:p>
            <w:pPr>
              <w:pStyle w:val="null3"/>
            </w:pPr>
            <w:r>
              <w:rPr>
                <w:rFonts w:ascii="仿宋_GB2312" w:hAnsi="仿宋_GB2312" w:cs="仿宋_GB2312" w:eastAsia="仿宋_GB2312"/>
              </w:rPr>
              <w:t>根据供应商制定的理赔方案进行评分，方案应包括：①理赔流程；②理赔质量标准；③理赔响应时效；④现场勘查时效；⑤档案及跟踪管理等保障措施。 （1）理赔方案详细具体、理赔程序清晰简便、理赔响应时效短、内容全面响应采购项目需求，得8-12分； （2）有理赔方案，理赔程序不够清晰简便、理赔响应时效短、内容较好响应采购项目需求，得4-8分； （3）理赔方案有缺项漏项,内容不完整或不能全部响应采购项目需求，得1-4分；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15%）×100（四舍五入后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详见附件：供应商偿付能力情况表.docx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详见附件：拟投入本项目人员、车辆配置情况表.docx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详见附件：合同样本.docx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