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注：本合同为示范文本，具体条款内容由甲方和乙方协商确定，但不得改变招标文件、投标文件、中标通知书里的实质性内容。）</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（中标人）</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 xml:space="preserve">     项目名称     </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）的招标文件、投标文件等有关规定，为确保甲方采购项目的顺利实施，甲、乙双方在平等自愿原则下签订本合同，并共同遵守如下条款：</w:t>
      </w:r>
    </w:p>
    <w:p>
      <w:pPr>
        <w:pStyle w:val="13"/>
        <w:spacing w:line="360" w:lineRule="auto"/>
        <w:outlineLvl w:val="1"/>
        <w:rPr>
          <w:rFonts w:hint="eastAsia" w:ascii="仿宋" w:hAnsi="仿宋" w:eastAsia="仿宋" w:cs="仿宋"/>
          <w:b/>
          <w:color w:val="auto"/>
          <w:highlight w:val="none"/>
        </w:rPr>
      </w:pPr>
      <w:bookmarkStart w:id="0" w:name="_Toc8686"/>
      <w:bookmarkStart w:id="1" w:name="_Toc3373"/>
      <w:bookmarkStart w:id="2" w:name="_Toc18934"/>
      <w:r>
        <w:rPr>
          <w:rFonts w:hint="eastAsia" w:ascii="仿宋" w:hAnsi="仿宋" w:eastAsia="仿宋" w:cs="仿宋"/>
          <w:b/>
          <w:color w:val="auto"/>
          <w:highlight w:val="none"/>
        </w:rPr>
        <w:t>第一条 合同标的及数量</w:t>
      </w:r>
      <w:bookmarkEnd w:id="0"/>
      <w:bookmarkEnd w:id="1"/>
      <w:bookmarkEnd w:id="2"/>
    </w:p>
    <w:p>
      <w:pPr>
        <w:pStyle w:val="13"/>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p>
    <w:p>
      <w:pPr>
        <w:pStyle w:val="7"/>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1"/>
        <w:tblpPr w:leftFromText="180" w:rightFromText="180" w:vertAnchor="text" w:horzAnchor="margin" w:tblpY="309"/>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377"/>
        <w:gridCol w:w="1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01" w:type="dxa"/>
            <w:vAlign w:val="center"/>
          </w:tcPr>
          <w:p>
            <w:pPr>
              <w:outlineLvl w:val="9"/>
              <w:rPr>
                <w:rFonts w:hint="eastAsia" w:ascii="仿宋" w:hAnsi="仿宋" w:eastAsia="仿宋" w:cs="仿宋"/>
                <w:color w:val="auto"/>
                <w:sz w:val="24"/>
                <w:szCs w:val="24"/>
                <w:highlight w:val="none"/>
              </w:rPr>
            </w:pPr>
            <w:bookmarkStart w:id="3" w:name="_Toc26294"/>
            <w:bookmarkStart w:id="4" w:name="_Toc7471"/>
            <w:bookmarkStart w:id="5" w:name="_Toc1631"/>
            <w:bookmarkStart w:id="6" w:name="_Toc21343"/>
            <w:bookmarkStart w:id="7" w:name="_Toc31400"/>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pPr>
              <w:jc w:val="center"/>
              <w:outlineLvl w:val="9"/>
              <w:rPr>
                <w:rFonts w:hint="eastAsia" w:ascii="仿宋" w:hAnsi="仿宋" w:eastAsia="仿宋" w:cs="仿宋"/>
                <w:color w:val="auto"/>
                <w:sz w:val="24"/>
                <w:szCs w:val="24"/>
                <w:highlight w:val="none"/>
              </w:rPr>
            </w:pPr>
            <w:bookmarkStart w:id="8" w:name="_Toc22389"/>
            <w:bookmarkStart w:id="9" w:name="_Toc678"/>
            <w:bookmarkStart w:id="10" w:name="_Toc6445"/>
            <w:bookmarkStart w:id="11" w:name="_Toc23183"/>
            <w:bookmarkStart w:id="12" w:name="_Toc3968"/>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pPr>
              <w:outlineLvl w:val="9"/>
              <w:rPr>
                <w:rFonts w:hint="eastAsia" w:ascii="仿宋" w:hAnsi="仿宋" w:eastAsia="仿宋" w:cs="仿宋"/>
                <w:color w:val="auto"/>
                <w:sz w:val="24"/>
                <w:szCs w:val="24"/>
                <w:highlight w:val="none"/>
              </w:rPr>
            </w:pPr>
            <w:bookmarkStart w:id="13" w:name="_Toc31540"/>
            <w:bookmarkStart w:id="14" w:name="_Toc5820"/>
            <w:bookmarkStart w:id="15" w:name="_Toc6213"/>
            <w:bookmarkStart w:id="16" w:name="_Toc16370"/>
            <w:bookmarkStart w:id="17" w:name="_Toc13493"/>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pPr>
              <w:outlineLvl w:val="9"/>
              <w:rPr>
                <w:rFonts w:hint="eastAsia" w:ascii="仿宋" w:hAnsi="仿宋" w:eastAsia="仿宋" w:cs="仿宋"/>
                <w:color w:val="auto"/>
                <w:sz w:val="24"/>
                <w:szCs w:val="24"/>
                <w:highlight w:val="none"/>
              </w:rPr>
            </w:pPr>
            <w:bookmarkStart w:id="18" w:name="_Toc3931"/>
            <w:bookmarkStart w:id="19" w:name="_Toc15931"/>
            <w:bookmarkStart w:id="20" w:name="_Toc21205"/>
            <w:bookmarkStart w:id="21" w:name="_Toc3362"/>
            <w:bookmarkStart w:id="22" w:name="_Toc5177"/>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pPr>
              <w:outlineLvl w:val="9"/>
              <w:rPr>
                <w:rFonts w:hint="eastAsia" w:ascii="仿宋" w:hAnsi="仿宋" w:eastAsia="仿宋" w:cs="仿宋"/>
                <w:color w:val="auto"/>
                <w:sz w:val="24"/>
                <w:szCs w:val="24"/>
                <w:highlight w:val="none"/>
              </w:rPr>
            </w:pPr>
            <w:bookmarkStart w:id="23" w:name="_Toc30791"/>
            <w:bookmarkStart w:id="24" w:name="_Toc18669"/>
            <w:bookmarkStart w:id="25" w:name="_Toc8364"/>
            <w:bookmarkStart w:id="26" w:name="_Toc13801"/>
            <w:bookmarkStart w:id="27" w:name="_Toc16004"/>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pPr>
              <w:outlineLvl w:val="9"/>
              <w:rPr>
                <w:rFonts w:hint="eastAsia" w:ascii="仿宋" w:hAnsi="仿宋" w:eastAsia="仿宋" w:cs="仿宋"/>
                <w:color w:val="auto"/>
                <w:sz w:val="24"/>
                <w:szCs w:val="24"/>
                <w:highlight w:val="none"/>
              </w:rPr>
            </w:pPr>
            <w:bookmarkStart w:id="28" w:name="_Toc9231"/>
            <w:bookmarkStart w:id="29" w:name="_Toc609"/>
            <w:bookmarkStart w:id="30" w:name="_Toc19134"/>
            <w:bookmarkStart w:id="31" w:name="_Toc29871"/>
            <w:bookmarkStart w:id="32" w:name="_Toc24569"/>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377" w:type="dxa"/>
            <w:vAlign w:val="center"/>
          </w:tcPr>
          <w:p>
            <w:pPr>
              <w:outlineLvl w:val="9"/>
              <w:rPr>
                <w:rFonts w:hint="eastAsia" w:ascii="仿宋" w:hAnsi="仿宋" w:eastAsia="仿宋" w:cs="仿宋"/>
                <w:color w:val="auto"/>
                <w:sz w:val="24"/>
                <w:szCs w:val="24"/>
                <w:highlight w:val="none"/>
              </w:rPr>
            </w:pPr>
            <w:bookmarkStart w:id="33" w:name="_Toc22269"/>
            <w:bookmarkStart w:id="34" w:name="_Toc23932"/>
            <w:bookmarkStart w:id="35" w:name="_Toc1373"/>
            <w:bookmarkStart w:id="36" w:name="_Toc29589"/>
            <w:bookmarkStart w:id="37" w:name="_Toc5020"/>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价（元）</w:t>
            </w:r>
            <w:bookmarkEnd w:id="33"/>
            <w:bookmarkEnd w:id="34"/>
            <w:bookmarkEnd w:id="35"/>
            <w:bookmarkEnd w:id="36"/>
            <w:bookmarkEnd w:id="37"/>
          </w:p>
        </w:tc>
        <w:tc>
          <w:tcPr>
            <w:tcW w:w="1386" w:type="dxa"/>
            <w:vAlign w:val="center"/>
          </w:tcPr>
          <w:p>
            <w:pPr>
              <w:ind w:left="236" w:hanging="235" w:hangingChars="98"/>
              <w:outlineLvl w:val="9"/>
              <w:rPr>
                <w:rFonts w:hint="eastAsia" w:ascii="仿宋" w:hAnsi="仿宋" w:eastAsia="仿宋" w:cs="仿宋"/>
                <w:color w:val="auto"/>
                <w:sz w:val="24"/>
                <w:szCs w:val="24"/>
                <w:highlight w:val="none"/>
              </w:rPr>
            </w:pPr>
            <w:bookmarkStart w:id="38" w:name="_Toc32579"/>
            <w:bookmarkStart w:id="39" w:name="_Toc23619"/>
            <w:bookmarkStart w:id="40" w:name="_Toc14510"/>
            <w:bookmarkStart w:id="41" w:name="_Toc26062"/>
            <w:bookmarkStart w:id="42" w:name="_Toc17545"/>
            <w:r>
              <w:rPr>
                <w:rFonts w:hint="eastAsia" w:ascii="仿宋" w:hAnsi="仿宋" w:eastAsia="仿宋" w:cs="仿宋"/>
                <w:color w:val="auto"/>
                <w:sz w:val="24"/>
                <w:szCs w:val="24"/>
                <w:highlight w:val="none"/>
              </w:rPr>
              <w:t>金额 (元)</w:t>
            </w:r>
            <w:bookmarkEnd w:id="38"/>
            <w:bookmarkEnd w:id="39"/>
            <w:bookmarkEnd w:id="40"/>
            <w:bookmarkEnd w:id="41"/>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pPr>
              <w:outlineLvl w:val="9"/>
              <w:rPr>
                <w:rFonts w:hint="eastAsia" w:ascii="仿宋" w:hAnsi="仿宋" w:eastAsia="仿宋" w:cs="仿宋"/>
                <w:color w:val="auto"/>
                <w:sz w:val="24"/>
                <w:szCs w:val="24"/>
                <w:highlight w:val="none"/>
              </w:rPr>
            </w:pPr>
          </w:p>
        </w:tc>
        <w:tc>
          <w:tcPr>
            <w:tcW w:w="1461" w:type="dxa"/>
          </w:tcPr>
          <w:p>
            <w:pPr>
              <w:outlineLvl w:val="9"/>
              <w:rPr>
                <w:rFonts w:hint="eastAsia" w:ascii="仿宋" w:hAnsi="仿宋" w:eastAsia="仿宋" w:cs="仿宋"/>
                <w:color w:val="auto"/>
                <w:sz w:val="24"/>
                <w:szCs w:val="24"/>
                <w:highlight w:val="none"/>
              </w:rPr>
            </w:pPr>
          </w:p>
        </w:tc>
        <w:tc>
          <w:tcPr>
            <w:tcW w:w="1623" w:type="dxa"/>
          </w:tcPr>
          <w:p>
            <w:pPr>
              <w:outlineLvl w:val="9"/>
              <w:rPr>
                <w:rFonts w:hint="eastAsia" w:ascii="仿宋" w:hAnsi="仿宋" w:eastAsia="仿宋" w:cs="仿宋"/>
                <w:color w:val="auto"/>
                <w:sz w:val="24"/>
                <w:szCs w:val="24"/>
                <w:highlight w:val="none"/>
              </w:rPr>
            </w:pPr>
          </w:p>
        </w:tc>
        <w:tc>
          <w:tcPr>
            <w:tcW w:w="832" w:type="dxa"/>
          </w:tcPr>
          <w:p>
            <w:pPr>
              <w:outlineLvl w:val="9"/>
              <w:rPr>
                <w:rFonts w:hint="eastAsia" w:ascii="仿宋" w:hAnsi="仿宋" w:eastAsia="仿宋" w:cs="仿宋"/>
                <w:color w:val="auto"/>
                <w:sz w:val="24"/>
                <w:szCs w:val="24"/>
                <w:highlight w:val="none"/>
              </w:rPr>
            </w:pPr>
          </w:p>
        </w:tc>
        <w:tc>
          <w:tcPr>
            <w:tcW w:w="822" w:type="dxa"/>
          </w:tcPr>
          <w:p>
            <w:pPr>
              <w:outlineLvl w:val="9"/>
              <w:rPr>
                <w:rFonts w:hint="eastAsia" w:ascii="仿宋" w:hAnsi="仿宋" w:eastAsia="仿宋" w:cs="仿宋"/>
                <w:color w:val="auto"/>
                <w:sz w:val="24"/>
                <w:szCs w:val="24"/>
                <w:highlight w:val="none"/>
              </w:rPr>
            </w:pPr>
          </w:p>
        </w:tc>
        <w:tc>
          <w:tcPr>
            <w:tcW w:w="514" w:type="dxa"/>
          </w:tcPr>
          <w:p>
            <w:pPr>
              <w:outlineLvl w:val="9"/>
              <w:rPr>
                <w:rFonts w:hint="eastAsia" w:ascii="仿宋" w:hAnsi="仿宋" w:eastAsia="仿宋" w:cs="仿宋"/>
                <w:color w:val="auto"/>
                <w:sz w:val="24"/>
                <w:szCs w:val="24"/>
                <w:highlight w:val="none"/>
              </w:rPr>
            </w:pPr>
          </w:p>
        </w:tc>
        <w:tc>
          <w:tcPr>
            <w:tcW w:w="1377" w:type="dxa"/>
          </w:tcPr>
          <w:p>
            <w:pPr>
              <w:outlineLvl w:val="9"/>
              <w:rPr>
                <w:rFonts w:hint="eastAsia" w:ascii="仿宋" w:hAnsi="仿宋" w:eastAsia="仿宋" w:cs="仿宋"/>
                <w:color w:val="auto"/>
                <w:sz w:val="24"/>
                <w:szCs w:val="24"/>
                <w:highlight w:val="none"/>
              </w:rPr>
            </w:pPr>
          </w:p>
        </w:tc>
        <w:tc>
          <w:tcPr>
            <w:tcW w:w="1386" w:type="dxa"/>
          </w:tcPr>
          <w:p>
            <w:pPr>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pPr>
              <w:outlineLvl w:val="9"/>
              <w:rPr>
                <w:rFonts w:hint="eastAsia" w:ascii="仿宋" w:hAnsi="仿宋" w:eastAsia="仿宋" w:cs="仿宋"/>
                <w:color w:val="auto"/>
                <w:sz w:val="24"/>
                <w:szCs w:val="24"/>
                <w:highlight w:val="none"/>
              </w:rPr>
            </w:pPr>
          </w:p>
        </w:tc>
        <w:tc>
          <w:tcPr>
            <w:tcW w:w="1461" w:type="dxa"/>
          </w:tcPr>
          <w:p>
            <w:pPr>
              <w:outlineLvl w:val="9"/>
              <w:rPr>
                <w:rFonts w:hint="eastAsia" w:ascii="仿宋" w:hAnsi="仿宋" w:eastAsia="仿宋" w:cs="仿宋"/>
                <w:color w:val="auto"/>
                <w:sz w:val="24"/>
                <w:szCs w:val="24"/>
                <w:highlight w:val="none"/>
              </w:rPr>
            </w:pPr>
          </w:p>
        </w:tc>
        <w:tc>
          <w:tcPr>
            <w:tcW w:w="1623" w:type="dxa"/>
          </w:tcPr>
          <w:p>
            <w:pPr>
              <w:outlineLvl w:val="9"/>
              <w:rPr>
                <w:rFonts w:hint="eastAsia" w:ascii="仿宋" w:hAnsi="仿宋" w:eastAsia="仿宋" w:cs="仿宋"/>
                <w:color w:val="auto"/>
                <w:sz w:val="24"/>
                <w:szCs w:val="24"/>
                <w:highlight w:val="none"/>
              </w:rPr>
            </w:pPr>
          </w:p>
        </w:tc>
        <w:tc>
          <w:tcPr>
            <w:tcW w:w="832" w:type="dxa"/>
          </w:tcPr>
          <w:p>
            <w:pPr>
              <w:outlineLvl w:val="9"/>
              <w:rPr>
                <w:rFonts w:hint="eastAsia" w:ascii="仿宋" w:hAnsi="仿宋" w:eastAsia="仿宋" w:cs="仿宋"/>
                <w:color w:val="auto"/>
                <w:sz w:val="24"/>
                <w:szCs w:val="24"/>
                <w:highlight w:val="none"/>
              </w:rPr>
            </w:pPr>
          </w:p>
        </w:tc>
        <w:tc>
          <w:tcPr>
            <w:tcW w:w="822" w:type="dxa"/>
          </w:tcPr>
          <w:p>
            <w:pPr>
              <w:outlineLvl w:val="9"/>
              <w:rPr>
                <w:rFonts w:hint="eastAsia" w:ascii="仿宋" w:hAnsi="仿宋" w:eastAsia="仿宋" w:cs="仿宋"/>
                <w:color w:val="auto"/>
                <w:sz w:val="24"/>
                <w:szCs w:val="24"/>
                <w:highlight w:val="none"/>
              </w:rPr>
            </w:pPr>
          </w:p>
        </w:tc>
        <w:tc>
          <w:tcPr>
            <w:tcW w:w="514" w:type="dxa"/>
          </w:tcPr>
          <w:p>
            <w:pPr>
              <w:outlineLvl w:val="9"/>
              <w:rPr>
                <w:rFonts w:hint="eastAsia" w:ascii="仿宋" w:hAnsi="仿宋" w:eastAsia="仿宋" w:cs="仿宋"/>
                <w:color w:val="auto"/>
                <w:sz w:val="24"/>
                <w:szCs w:val="24"/>
                <w:highlight w:val="none"/>
              </w:rPr>
            </w:pPr>
          </w:p>
        </w:tc>
        <w:tc>
          <w:tcPr>
            <w:tcW w:w="1377" w:type="dxa"/>
          </w:tcPr>
          <w:p>
            <w:pPr>
              <w:outlineLvl w:val="9"/>
              <w:rPr>
                <w:rFonts w:hint="eastAsia" w:ascii="仿宋" w:hAnsi="仿宋" w:eastAsia="仿宋" w:cs="仿宋"/>
                <w:color w:val="auto"/>
                <w:sz w:val="24"/>
                <w:szCs w:val="24"/>
                <w:highlight w:val="none"/>
              </w:rPr>
            </w:pPr>
          </w:p>
        </w:tc>
        <w:tc>
          <w:tcPr>
            <w:tcW w:w="1386" w:type="dxa"/>
          </w:tcPr>
          <w:p>
            <w:pPr>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pPr>
              <w:outlineLvl w:val="9"/>
              <w:rPr>
                <w:rFonts w:hint="eastAsia" w:ascii="仿宋" w:hAnsi="仿宋" w:eastAsia="仿宋" w:cs="仿宋"/>
                <w:color w:val="auto"/>
                <w:sz w:val="24"/>
                <w:szCs w:val="24"/>
                <w:highlight w:val="none"/>
              </w:rPr>
            </w:pPr>
          </w:p>
        </w:tc>
        <w:tc>
          <w:tcPr>
            <w:tcW w:w="1461" w:type="dxa"/>
          </w:tcPr>
          <w:p>
            <w:pPr>
              <w:outlineLvl w:val="9"/>
              <w:rPr>
                <w:rFonts w:hint="eastAsia" w:ascii="仿宋" w:hAnsi="仿宋" w:eastAsia="仿宋" w:cs="仿宋"/>
                <w:color w:val="auto"/>
                <w:sz w:val="24"/>
                <w:szCs w:val="24"/>
                <w:highlight w:val="none"/>
              </w:rPr>
            </w:pPr>
          </w:p>
        </w:tc>
        <w:tc>
          <w:tcPr>
            <w:tcW w:w="1623" w:type="dxa"/>
          </w:tcPr>
          <w:p>
            <w:pPr>
              <w:outlineLvl w:val="9"/>
              <w:rPr>
                <w:rFonts w:hint="eastAsia" w:ascii="仿宋" w:hAnsi="仿宋" w:eastAsia="仿宋" w:cs="仿宋"/>
                <w:color w:val="auto"/>
                <w:sz w:val="24"/>
                <w:szCs w:val="24"/>
                <w:highlight w:val="none"/>
              </w:rPr>
            </w:pPr>
          </w:p>
        </w:tc>
        <w:tc>
          <w:tcPr>
            <w:tcW w:w="832" w:type="dxa"/>
          </w:tcPr>
          <w:p>
            <w:pPr>
              <w:outlineLvl w:val="9"/>
              <w:rPr>
                <w:rFonts w:hint="eastAsia" w:ascii="仿宋" w:hAnsi="仿宋" w:eastAsia="仿宋" w:cs="仿宋"/>
                <w:color w:val="auto"/>
                <w:sz w:val="24"/>
                <w:szCs w:val="24"/>
                <w:highlight w:val="none"/>
              </w:rPr>
            </w:pPr>
          </w:p>
        </w:tc>
        <w:tc>
          <w:tcPr>
            <w:tcW w:w="822" w:type="dxa"/>
          </w:tcPr>
          <w:p>
            <w:pPr>
              <w:outlineLvl w:val="9"/>
              <w:rPr>
                <w:rFonts w:hint="eastAsia" w:ascii="仿宋" w:hAnsi="仿宋" w:eastAsia="仿宋" w:cs="仿宋"/>
                <w:color w:val="auto"/>
                <w:sz w:val="24"/>
                <w:szCs w:val="24"/>
                <w:highlight w:val="none"/>
              </w:rPr>
            </w:pPr>
          </w:p>
        </w:tc>
        <w:tc>
          <w:tcPr>
            <w:tcW w:w="514" w:type="dxa"/>
          </w:tcPr>
          <w:p>
            <w:pPr>
              <w:outlineLvl w:val="9"/>
              <w:rPr>
                <w:rFonts w:hint="eastAsia" w:ascii="仿宋" w:hAnsi="仿宋" w:eastAsia="仿宋" w:cs="仿宋"/>
                <w:color w:val="auto"/>
                <w:sz w:val="24"/>
                <w:szCs w:val="24"/>
                <w:highlight w:val="none"/>
              </w:rPr>
            </w:pPr>
          </w:p>
        </w:tc>
        <w:tc>
          <w:tcPr>
            <w:tcW w:w="1377" w:type="dxa"/>
          </w:tcPr>
          <w:p>
            <w:pPr>
              <w:outlineLvl w:val="9"/>
              <w:rPr>
                <w:rFonts w:hint="eastAsia" w:ascii="仿宋" w:hAnsi="仿宋" w:eastAsia="仿宋" w:cs="仿宋"/>
                <w:color w:val="auto"/>
                <w:sz w:val="24"/>
                <w:szCs w:val="24"/>
                <w:highlight w:val="none"/>
              </w:rPr>
            </w:pPr>
          </w:p>
        </w:tc>
        <w:tc>
          <w:tcPr>
            <w:tcW w:w="1386" w:type="dxa"/>
          </w:tcPr>
          <w:p>
            <w:pPr>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85" w:type="dxa"/>
            <w:gridSpan w:val="3"/>
          </w:tcPr>
          <w:p>
            <w:pPr>
              <w:outlineLvl w:val="9"/>
              <w:rPr>
                <w:rFonts w:hint="eastAsia" w:ascii="仿宋" w:hAnsi="仿宋" w:eastAsia="仿宋" w:cs="仿宋"/>
                <w:color w:val="auto"/>
                <w:sz w:val="24"/>
                <w:szCs w:val="24"/>
                <w:highlight w:val="none"/>
              </w:rPr>
            </w:pPr>
            <w:bookmarkStart w:id="43" w:name="_Toc16401"/>
            <w:bookmarkStart w:id="44" w:name="_Toc25107"/>
            <w:bookmarkStart w:id="45" w:name="_Toc18746"/>
            <w:bookmarkStart w:id="46" w:name="_Toc15703"/>
            <w:bookmarkStart w:id="47" w:name="_Toc10934"/>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pPr>
              <w:outlineLvl w:val="9"/>
              <w:rPr>
                <w:rFonts w:hint="eastAsia" w:ascii="仿宋" w:hAnsi="仿宋" w:eastAsia="仿宋" w:cs="仿宋"/>
                <w:color w:val="auto"/>
                <w:sz w:val="24"/>
                <w:szCs w:val="24"/>
                <w:highlight w:val="none"/>
              </w:rPr>
            </w:pPr>
            <w:bookmarkStart w:id="48" w:name="_Toc3316"/>
            <w:bookmarkStart w:id="49" w:name="_Toc10002"/>
            <w:bookmarkStart w:id="50" w:name="_Toc31431"/>
            <w:bookmarkStart w:id="51" w:name="_Toc18304"/>
            <w:bookmarkStart w:id="52" w:name="_Toc9771"/>
            <w:r>
              <w:rPr>
                <w:rFonts w:hint="eastAsia" w:ascii="仿宋" w:hAnsi="仿宋" w:eastAsia="仿宋" w:cs="仿宋"/>
                <w:color w:val="auto"/>
                <w:sz w:val="24"/>
                <w:szCs w:val="24"/>
                <w:highlight w:val="none"/>
              </w:rPr>
              <w:t>¥</w:t>
            </w:r>
            <w:bookmarkEnd w:id="48"/>
            <w:bookmarkEnd w:id="49"/>
            <w:bookmarkEnd w:id="50"/>
            <w:bookmarkEnd w:id="51"/>
            <w:bookmarkEnd w:id="52"/>
          </w:p>
        </w:tc>
      </w:tr>
    </w:tbl>
    <w:p>
      <w:pPr>
        <w:pStyle w:val="6"/>
        <w:spacing w:line="360" w:lineRule="auto"/>
        <w:jc w:val="both"/>
        <w:rPr>
          <w:rFonts w:hint="eastAsia" w:ascii="仿宋" w:hAnsi="仿宋" w:eastAsia="仿宋" w:cs="仿宋"/>
          <w:color w:val="auto"/>
          <w:sz w:val="24"/>
          <w:szCs w:val="24"/>
          <w:highlight w:val="none"/>
        </w:rPr>
      </w:pPr>
      <w:bookmarkStart w:id="53" w:name="_Toc28512"/>
      <w:bookmarkStart w:id="54" w:name="_Toc14881"/>
      <w:bookmarkStart w:id="55" w:name="_Toc6586"/>
      <w:r>
        <w:rPr>
          <w:rFonts w:hint="eastAsia" w:ascii="仿宋" w:hAnsi="仿宋" w:eastAsia="仿宋" w:cs="仿宋"/>
          <w:color w:val="auto"/>
          <w:sz w:val="24"/>
          <w:szCs w:val="24"/>
          <w:highlight w:val="none"/>
        </w:rPr>
        <w:t>第二条 合同价款</w:t>
      </w:r>
      <w:bookmarkEnd w:id="53"/>
      <w:bookmarkEnd w:id="54"/>
      <w:bookmarkEnd w:id="55"/>
    </w:p>
    <w:p>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pPr>
        <w:pStyle w:val="6"/>
        <w:spacing w:line="360" w:lineRule="auto"/>
        <w:jc w:val="both"/>
        <w:rPr>
          <w:rFonts w:hint="default" w:ascii="仿宋" w:hAnsi="仿宋" w:eastAsia="仿宋" w:cs="仿宋"/>
          <w:color w:val="auto"/>
          <w:sz w:val="24"/>
          <w:szCs w:val="24"/>
          <w:highlight w:val="none"/>
          <w:lang w:val="en-US" w:eastAsia="zh-CN"/>
        </w:rPr>
      </w:pPr>
      <w:bookmarkStart w:id="57" w:name="_Toc14426"/>
      <w:bookmarkStart w:id="58" w:name="_Toc2721"/>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pPr>
        <w:pStyle w:val="6"/>
        <w:spacing w:line="360" w:lineRule="auto"/>
        <w:ind w:firstLine="480" w:firstLineChars="200"/>
        <w:jc w:val="both"/>
        <w:rPr>
          <w:rFonts w:hint="eastAsia" w:ascii="仿宋" w:hAnsi="仿宋" w:eastAsia="仿宋" w:cs="仿宋"/>
          <w:b/>
          <w:bCs/>
          <w:kern w:val="2"/>
          <w:sz w:val="24"/>
          <w:szCs w:val="24"/>
          <w:lang w:val="en-US" w:eastAsia="zh-CN" w:bidi="ar-SA"/>
        </w:rPr>
      </w:pPr>
      <w:bookmarkStart w:id="59" w:name="_Toc7450"/>
      <w:bookmarkStart w:id="60" w:name="_Toc7176"/>
      <w:bookmarkStart w:id="61" w:name="_Toc24977"/>
      <w:r>
        <w:rPr>
          <w:rFonts w:hint="eastAsia" w:ascii="仿宋" w:hAnsi="仿宋" w:eastAsia="仿宋" w:cs="仿宋"/>
          <w:b w:val="0"/>
          <w:bCs w:val="0"/>
          <w:kern w:val="2"/>
          <w:sz w:val="24"/>
          <w:szCs w:val="24"/>
          <w:lang w:val="en-US" w:eastAsia="zh-CN" w:bidi="ar-SA"/>
        </w:rPr>
        <w:t>货到医院安装调试验收后 ，达到付款条件起 10 日内，支付合同总金额的 95.00%。质保期结束后 ，达到付款条件起 10 日内，支付合同总金额的 5.00%。</w:t>
      </w:r>
      <w:r>
        <w:rPr>
          <w:rFonts w:hint="eastAsia" w:ascii="仿宋" w:hAnsi="仿宋" w:eastAsia="仿宋" w:cs="仿宋"/>
          <w:b/>
          <w:bCs/>
          <w:kern w:val="2"/>
          <w:sz w:val="24"/>
          <w:szCs w:val="24"/>
          <w:lang w:val="en-US" w:eastAsia="zh-CN" w:bidi="ar-SA"/>
        </w:rPr>
        <w:t>第四条 交货期限</w:t>
      </w:r>
      <w:bookmarkEnd w:id="59"/>
      <w:bookmarkEnd w:id="60"/>
      <w:bookmarkEnd w:id="61"/>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1"/>
        <w:rPr>
          <w:rFonts w:hint="default" w:ascii="仿宋" w:hAnsi="仿宋" w:eastAsia="仿宋" w:cs="仿宋"/>
          <w:b w:val="0"/>
          <w:bCs/>
          <w:color w:val="auto"/>
          <w:highlight w:val="yellow"/>
          <w:u w:val="none"/>
          <w:lang w:val="en-US" w:eastAsia="zh-CN"/>
        </w:rPr>
      </w:pPr>
      <w:r>
        <w:rPr>
          <w:rFonts w:hint="default" w:ascii="仿宋" w:hAnsi="仿宋" w:eastAsia="仿宋" w:cs="仿宋"/>
          <w:b w:val="0"/>
          <w:bCs/>
          <w:color w:val="auto"/>
          <w:highlight w:val="none"/>
          <w:u w:val="none"/>
          <w:lang w:val="en-US" w:eastAsia="zh-CN"/>
        </w:rPr>
        <w:t>自签订合同之日起30日历天安装交付</w:t>
      </w:r>
    </w:p>
    <w:p>
      <w:pPr>
        <w:pStyle w:val="6"/>
        <w:spacing w:line="360" w:lineRule="auto"/>
        <w:jc w:val="both"/>
        <w:rPr>
          <w:rFonts w:hint="default" w:ascii="仿宋" w:hAnsi="仿宋" w:eastAsia="仿宋" w:cs="仿宋"/>
          <w:color w:val="auto"/>
          <w:sz w:val="24"/>
          <w:szCs w:val="24"/>
          <w:highlight w:val="none"/>
          <w:lang w:val="en-US" w:eastAsia="zh-CN"/>
        </w:rPr>
      </w:pPr>
      <w:bookmarkStart w:id="62" w:name="_Toc8595"/>
      <w:r>
        <w:rPr>
          <w:rFonts w:hint="eastAsia" w:ascii="仿宋" w:hAnsi="仿宋" w:eastAsia="仿宋" w:cs="仿宋"/>
          <w:color w:val="auto"/>
          <w:sz w:val="24"/>
          <w:szCs w:val="24"/>
          <w:highlight w:val="none"/>
          <w:lang w:val="en-US" w:eastAsia="zh-CN"/>
        </w:rPr>
        <w:t xml:space="preserve"> </w:t>
      </w:r>
      <w:bookmarkStart w:id="63" w:name="_Toc2774"/>
      <w:bookmarkStart w:id="64" w:name="_Toc18347"/>
      <w:r>
        <w:rPr>
          <w:rFonts w:hint="eastAsia" w:ascii="仿宋" w:hAnsi="仿宋" w:eastAsia="仿宋" w:cs="仿宋"/>
          <w:color w:val="auto"/>
          <w:sz w:val="24"/>
          <w:szCs w:val="24"/>
          <w:highlight w:val="none"/>
          <w:lang w:val="en-US" w:eastAsia="zh-CN"/>
        </w:rPr>
        <w:t>第五条 质</w:t>
      </w:r>
      <w:bookmarkEnd w:id="62"/>
      <w:r>
        <w:rPr>
          <w:rFonts w:hint="eastAsia" w:ascii="仿宋" w:hAnsi="仿宋" w:eastAsia="仿宋" w:cs="仿宋"/>
          <w:color w:val="auto"/>
          <w:sz w:val="24"/>
          <w:szCs w:val="24"/>
          <w:highlight w:val="none"/>
          <w:lang w:val="en-US" w:eastAsia="zh-CN"/>
        </w:rPr>
        <w:t>保</w:t>
      </w:r>
      <w:bookmarkEnd w:id="63"/>
      <w:bookmarkEnd w:id="64"/>
      <w:r>
        <w:rPr>
          <w:rFonts w:hint="eastAsia" w:ascii="仿宋" w:hAnsi="仿宋" w:eastAsia="仿宋" w:cs="仿宋"/>
          <w:color w:val="auto"/>
          <w:sz w:val="24"/>
          <w:szCs w:val="24"/>
          <w:highlight w:val="none"/>
          <w:lang w:val="en-US" w:eastAsia="zh-CN"/>
        </w:rPr>
        <w:t>保证</w:t>
      </w:r>
    </w:p>
    <w:p>
      <w:pPr>
        <w:pStyle w:val="9"/>
        <w:spacing w:line="360" w:lineRule="auto"/>
        <w:ind w:firstLine="480" w:firstLineChars="200"/>
        <w:rPr>
          <w:rFonts w:ascii="仿宋" w:hAnsi="仿宋" w:eastAsia="仿宋" w:cs="仿宋"/>
          <w:sz w:val="24"/>
        </w:rPr>
      </w:pPr>
      <w:bookmarkStart w:id="65" w:name="_Toc23635"/>
      <w:bookmarkStart w:id="66" w:name="_Toc26000"/>
      <w:bookmarkStart w:id="67" w:name="_Toc5147"/>
      <w:r>
        <w:rPr>
          <w:rFonts w:hint="eastAsia" w:ascii="仿宋" w:hAnsi="仿宋" w:eastAsia="仿宋" w:cs="仿宋"/>
          <w:sz w:val="24"/>
          <w:lang w:val="en-US" w:eastAsia="zh-CN"/>
        </w:rPr>
        <w:t>1.</w:t>
      </w:r>
      <w:r>
        <w:rPr>
          <w:rFonts w:hint="eastAsia" w:ascii="仿宋" w:hAnsi="仿宋" w:eastAsia="仿宋" w:cs="仿宋"/>
          <w:sz w:val="24"/>
        </w:rPr>
        <w:t>乙方提供的设备及配套产品，必须</w:t>
      </w:r>
      <w:r>
        <w:rPr>
          <w:rFonts w:hint="eastAsia" w:ascii="仿宋" w:hAnsi="仿宋" w:eastAsia="仿宋" w:cs="仿宋"/>
          <w:sz w:val="24"/>
          <w:lang w:val="en-US" w:eastAsia="zh-CN"/>
        </w:rPr>
        <w:t>按照我国现使用的标准</w:t>
      </w:r>
      <w:r>
        <w:rPr>
          <w:rFonts w:hint="eastAsia" w:ascii="仿宋" w:hAnsi="仿宋" w:eastAsia="仿宋" w:cs="仿宋"/>
          <w:sz w:val="24"/>
        </w:rPr>
        <w:t>制造</w:t>
      </w:r>
      <w:r>
        <w:rPr>
          <w:rFonts w:hint="eastAsia" w:ascii="仿宋" w:hAnsi="仿宋" w:eastAsia="仿宋" w:cs="仿宋"/>
          <w:sz w:val="24"/>
          <w:lang w:eastAsia="zh-CN"/>
        </w:rPr>
        <w:t>，</w:t>
      </w:r>
      <w:r>
        <w:rPr>
          <w:rFonts w:hint="eastAsia" w:ascii="仿宋" w:hAnsi="仿宋" w:eastAsia="仿宋" w:cs="仿宋"/>
          <w:sz w:val="24"/>
          <w:lang w:val="en-US" w:eastAsia="zh-CN"/>
        </w:rPr>
        <w:t>必须是合格</w:t>
      </w:r>
      <w:r>
        <w:rPr>
          <w:rFonts w:hint="eastAsia" w:ascii="仿宋" w:hAnsi="仿宋" w:eastAsia="仿宋" w:cs="仿宋"/>
          <w:sz w:val="24"/>
        </w:rPr>
        <w:t>、全新、未曾使用的产</w:t>
      </w:r>
      <w:bookmarkStart w:id="86" w:name="_GoBack"/>
      <w:bookmarkEnd w:id="86"/>
      <w:r>
        <w:rPr>
          <w:rFonts w:hint="eastAsia" w:ascii="仿宋" w:hAnsi="仿宋" w:eastAsia="仿宋" w:cs="仿宋"/>
          <w:sz w:val="24"/>
        </w:rPr>
        <w:t>品，产品内部无损坏，外表无磨损，内部包装无破损。整套产品必须通过由国家技术监督部门授权的计量检定单位的检定，并附有检定使用合格证书。</w:t>
      </w:r>
    </w:p>
    <w:p>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乙方提供的设备及配套产品必须等同于或优于合同技术指标要求，并能按国家标准供应、检测、调试，确保产品技术指标满足使用要求。</w:t>
      </w:r>
    </w:p>
    <w:p>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须保证所提供的设备经正确安装、正常运转和保养，在其使用寿命期内须具有符合质量要求和产品说明书的性能。在产品质量保证期之内，乙方须对由于设计、工艺或材料的缺陷而发生的任何不足或故障负责，并免费予以改进或更换。</w:t>
      </w:r>
    </w:p>
    <w:p>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乙方在收到通知后虽答复，但没有弥补缺陷，甲方可采取必要的补救措施，但由此引发的风险和费用将由乙方承担。甲方根据合同规定对乙方行使的其他权力不受影响。</w:t>
      </w:r>
    </w:p>
    <w:p>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质保期为终验合格后</w:t>
      </w:r>
      <w:r>
        <w:rPr>
          <w:rFonts w:hint="eastAsia" w:ascii="仿宋" w:hAnsi="仿宋" w:eastAsia="仿宋" w:cs="仿宋"/>
          <w:sz w:val="24"/>
          <w:lang w:val="en-US" w:eastAsia="zh-CN"/>
        </w:rPr>
        <w:t>2年</w:t>
      </w:r>
      <w:r>
        <w:rPr>
          <w:rFonts w:hint="eastAsia" w:ascii="仿宋" w:hAnsi="仿宋" w:eastAsia="仿宋" w:cs="仿宋"/>
          <w:sz w:val="24"/>
        </w:rPr>
        <w:t>。</w:t>
      </w:r>
      <w:r>
        <w:rPr>
          <w:rFonts w:hint="eastAsia" w:ascii="仿宋" w:hAnsi="仿宋" w:eastAsia="仿宋" w:cs="仿宋"/>
          <w:sz w:val="24"/>
          <w:lang w:eastAsia="zh-CN"/>
        </w:rPr>
        <w:t>乙方</w:t>
      </w:r>
      <w:r>
        <w:rPr>
          <w:rFonts w:hint="eastAsia" w:ascii="仿宋" w:hAnsi="仿宋" w:eastAsia="仿宋" w:cs="仿宋"/>
          <w:sz w:val="24"/>
        </w:rPr>
        <w:t>承诺的质保时间超过招标文件要求的，按其承诺时间质保。</w:t>
      </w:r>
    </w:p>
    <w:p>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）乙方</w:t>
      </w:r>
      <w:r>
        <w:rPr>
          <w:rFonts w:hint="eastAsia" w:ascii="仿宋" w:hAnsi="仿宋" w:eastAsia="仿宋" w:cs="仿宋"/>
          <w:sz w:val="24"/>
        </w:rPr>
        <w:t>承诺的质保期起始时间为终验合格之日。</w:t>
      </w:r>
    </w:p>
    <w:p>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所有产品质量必须符合现行的国家标准或国家行政部门颁布的法律法规、规章制度等。没有国家标准的，可以参考行业标准。所有设备及辅材必须是未使用过的新产品，质量优良、渠道正当，配置合理。</w:t>
      </w:r>
    </w:p>
    <w:p>
      <w:pPr>
        <w:pStyle w:val="9"/>
        <w:spacing w:line="360" w:lineRule="auto"/>
        <w:ind w:firstLine="480" w:firstLineChars="200"/>
        <w:rPr>
          <w:rFonts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w:t>
      </w:r>
      <w:r>
        <w:rPr>
          <w:rFonts w:hint="eastAsia" w:ascii="仿宋" w:hAnsi="仿宋" w:eastAsia="仿宋" w:cs="仿宋"/>
          <w:sz w:val="24"/>
        </w:rPr>
        <w:t>质保期出现的质量问题由</w:t>
      </w:r>
      <w:r>
        <w:rPr>
          <w:rFonts w:hint="eastAsia" w:ascii="仿宋" w:hAnsi="仿宋" w:eastAsia="仿宋" w:cs="仿宋"/>
          <w:sz w:val="24"/>
          <w:lang w:eastAsia="zh-CN"/>
        </w:rPr>
        <w:t>乙方</w:t>
      </w:r>
      <w:r>
        <w:rPr>
          <w:rFonts w:hint="eastAsia" w:ascii="仿宋" w:hAnsi="仿宋" w:eastAsia="仿宋" w:cs="仿宋"/>
          <w:sz w:val="24"/>
        </w:rPr>
        <w:t>负责解决并承担所有费用。质保期后如需更换零部件，</w:t>
      </w:r>
      <w:r>
        <w:rPr>
          <w:rFonts w:hint="eastAsia" w:ascii="仿宋" w:hAnsi="仿宋" w:eastAsia="仿宋" w:cs="仿宋"/>
          <w:sz w:val="24"/>
          <w:lang w:eastAsia="zh-CN"/>
        </w:rPr>
        <w:t>乙方</w:t>
      </w:r>
      <w:r>
        <w:rPr>
          <w:rFonts w:hint="eastAsia" w:ascii="仿宋" w:hAnsi="仿宋" w:eastAsia="仿宋" w:cs="仿宋"/>
          <w:sz w:val="24"/>
        </w:rPr>
        <w:t>应以优惠价提供。</w:t>
      </w:r>
    </w:p>
    <w:p>
      <w:pPr>
        <w:pStyle w:val="13"/>
        <w:spacing w:line="360" w:lineRule="auto"/>
        <w:outlineLvl w:val="1"/>
        <w:rPr>
          <w:rFonts w:hint="eastAsia" w:ascii="仿宋" w:hAnsi="仿宋" w:eastAsia="仿宋" w:cs="仿宋"/>
          <w:b/>
          <w:color w:val="auto"/>
          <w:highlight w:val="none"/>
        </w:rPr>
      </w:pPr>
      <w:r>
        <w:rPr>
          <w:rFonts w:hint="eastAsia" w:ascii="仿宋" w:hAnsi="仿宋" w:eastAsia="仿宋" w:cs="仿宋"/>
          <w:b/>
          <w:color w:val="auto"/>
          <w:highlight w:val="none"/>
        </w:rPr>
        <w:t>第六条 权利保证</w:t>
      </w:r>
      <w:bookmarkEnd w:id="65"/>
      <w:bookmarkEnd w:id="66"/>
      <w:bookmarkEnd w:id="67"/>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pPr>
        <w:pStyle w:val="13"/>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pPr>
        <w:pStyle w:val="13"/>
        <w:spacing w:line="360" w:lineRule="auto"/>
        <w:outlineLvl w:val="1"/>
        <w:rPr>
          <w:rFonts w:hint="default" w:ascii="仿宋" w:hAnsi="仿宋" w:eastAsia="仿宋" w:cs="仿宋"/>
          <w:b/>
          <w:color w:val="auto"/>
          <w:highlight w:val="none"/>
          <w:lang w:val="en-US" w:eastAsia="zh-CN"/>
        </w:rPr>
      </w:pPr>
      <w:bookmarkStart w:id="68" w:name="_Toc31505"/>
      <w:bookmarkStart w:id="69" w:name="_Toc18410"/>
      <w:bookmarkStart w:id="70" w:name="_Toc31476"/>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售后服务</w:t>
      </w:r>
      <w:bookmarkEnd w:id="68"/>
      <w:bookmarkEnd w:id="69"/>
      <w:bookmarkEnd w:id="70"/>
      <w:r>
        <w:rPr>
          <w:rFonts w:hint="eastAsia" w:ascii="仿宋" w:hAnsi="仿宋" w:eastAsia="仿宋" w:cs="仿宋"/>
          <w:b/>
          <w:color w:val="auto"/>
          <w:highlight w:val="none"/>
          <w:lang w:val="en-US" w:eastAsia="zh-CN"/>
        </w:rPr>
        <w:t>及培训</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乙方应按照国家有关法律法规以及招标文件要求和投标文件的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乙方负责提供仪器设备相应的技术资料，包括产品合格证、产品保修单、安装使用及维护说明书以及运输装箱清单等,并对所有技术材料的真实性、准确性、先进性、完整性负责。</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3.</w:t>
      </w:r>
      <w:r>
        <w:rPr>
          <w:rFonts w:hint="eastAsia" w:ascii="仿宋" w:hAnsi="仿宋" w:eastAsia="仿宋" w:cs="仿宋"/>
          <w:color w:val="auto"/>
          <w:kern w:val="0"/>
          <w:highlight w:val="none"/>
        </w:rPr>
        <w:t>人员培训：乙方终身免费为甲方培训设备使用人员，培训内容包括：设备操作、维护、简单维修等。</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4.</w:t>
      </w:r>
      <w:r>
        <w:rPr>
          <w:rFonts w:hint="eastAsia" w:ascii="仿宋" w:hAnsi="仿宋" w:eastAsia="仿宋" w:cs="仿宋"/>
          <w:color w:val="auto"/>
          <w:kern w:val="0"/>
          <w:highlight w:val="none"/>
        </w:rPr>
        <w:t>售后服务：质保期内乙方对甲方提出的服务响应不得超出</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小时。</w:t>
      </w:r>
    </w:p>
    <w:p>
      <w:pPr>
        <w:pStyle w:val="13"/>
        <w:spacing w:line="360" w:lineRule="auto"/>
        <w:outlineLvl w:val="1"/>
        <w:rPr>
          <w:rFonts w:hint="eastAsia" w:ascii="仿宋" w:hAnsi="仿宋" w:eastAsia="仿宋" w:cs="仿宋"/>
          <w:b/>
          <w:color w:val="auto"/>
          <w:highlight w:val="none"/>
        </w:rPr>
      </w:pPr>
      <w:bookmarkStart w:id="71" w:name="_Toc3919"/>
      <w:bookmarkStart w:id="72" w:name="_Toc3711"/>
      <w:bookmarkStart w:id="73" w:name="_Toc28698"/>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违约责任</w:t>
      </w:r>
      <w:bookmarkEnd w:id="71"/>
      <w:bookmarkEnd w:id="72"/>
      <w:bookmarkEnd w:id="73"/>
    </w:p>
    <w:p>
      <w:pPr>
        <w:pStyle w:val="13"/>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1.甲方违约责任</w:t>
      </w:r>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（1）甲方无正当理由拒收货物的，甲方应偿付合同总价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w:t>
      </w:r>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（2）甲方逾期支付货款的，除应及时付足货款外，应向乙方每天支付欠款总额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的滞纳金；但累计滞纳金总额不超过欠款总额的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pPr>
        <w:pStyle w:val="13"/>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2.乙方违约责任</w:t>
      </w:r>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（1）如乙方不能交付货物，同时乙方应向甲方支付合同总价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w:t>
      </w:r>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（2）乙方逾期交付货物的，每逾期1天，乙方向甲方偿付逾期交付部分货款总额的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lang w:val="en-US" w:eastAsia="zh-CN"/>
        </w:rPr>
        <w:t>%</w:t>
      </w:r>
      <w:r>
        <w:rPr>
          <w:rFonts w:hint="eastAsia" w:ascii="仿宋" w:hAnsi="仿宋" w:eastAsia="仿宋" w:cs="仿宋"/>
          <w:color w:val="auto"/>
          <w:kern w:val="0"/>
          <w:sz w:val="24"/>
          <w:szCs w:val="24"/>
          <w:highlight w:val="none"/>
        </w:rPr>
        <w:t>的滞纳金。如乙方逾期交付达</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%违约金，违约金不足以弥补甲方损失的，由乙方另行支付；</w:t>
      </w:r>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%的违约金，并按甲方要求予以免费更换；</w:t>
      </w:r>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%的违约金，违约金不足以弥补甲方损失的，由乙方另行支付；</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（6）乙方未按本合同的规定和</w:t>
      </w:r>
      <w:r>
        <w:rPr>
          <w:rFonts w:hint="eastAsia" w:ascii="仿宋" w:hAnsi="仿宋" w:eastAsia="仿宋" w:cs="仿宋"/>
          <w:color w:val="auto"/>
          <w:kern w:val="0"/>
          <w:highlight w:val="none"/>
          <w:lang w:val="en-US" w:eastAsia="zh-CN"/>
        </w:rPr>
        <w:t>售后服务方案</w:t>
      </w:r>
      <w:r>
        <w:rPr>
          <w:rFonts w:hint="eastAsia" w:ascii="仿宋" w:hAnsi="仿宋" w:eastAsia="仿宋" w:cs="仿宋"/>
          <w:color w:val="auto"/>
          <w:kern w:val="0"/>
          <w:highlight w:val="none"/>
        </w:rPr>
        <w:t>提供伴随服务/售后服务的，应按合同总价款的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%向甲方承担违约责任；</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（7）乙方在承担上述1-7款一项或多项违约责任后，仍应继续履行合同规定的义务（甲方解除合同的除外）。甲方未能及时追究乙方的任何一项违约责任并不表明甲方放弃追究乙方该项或其他违约责任；</w:t>
      </w:r>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（8）乙方偿付的违约金不足以弥补甲方损失的，还应按甲方损失尚未弥补的部分，支付赔偿金给甲方。</w:t>
      </w:r>
    </w:p>
    <w:p>
      <w:pPr>
        <w:widowControl/>
        <w:spacing w:line="360" w:lineRule="auto"/>
        <w:jc w:val="left"/>
        <w:outlineLvl w:val="1"/>
        <w:rPr>
          <w:rFonts w:hint="eastAsia" w:ascii="仿宋" w:hAnsi="仿宋" w:eastAsia="仿宋" w:cs="仿宋"/>
          <w:color w:val="auto"/>
          <w:kern w:val="0"/>
          <w:sz w:val="24"/>
          <w:szCs w:val="24"/>
          <w:highlight w:val="none"/>
        </w:rPr>
      </w:pPr>
      <w:bookmarkStart w:id="74" w:name="_Toc13805"/>
      <w:bookmarkStart w:id="75" w:name="_Toc17126"/>
      <w:bookmarkStart w:id="76" w:name="_Toc27557"/>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4"/>
      <w:bookmarkEnd w:id="75"/>
      <w:bookmarkEnd w:id="76"/>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pPr>
        <w:widowControl/>
        <w:spacing w:line="360" w:lineRule="auto"/>
        <w:jc w:val="left"/>
        <w:outlineLvl w:val="1"/>
        <w:rPr>
          <w:rFonts w:hint="eastAsia" w:ascii="仿宋" w:hAnsi="仿宋" w:eastAsia="仿宋" w:cs="仿宋"/>
          <w:b/>
          <w:color w:val="auto"/>
          <w:kern w:val="0"/>
          <w:sz w:val="24"/>
          <w:szCs w:val="24"/>
          <w:highlight w:val="none"/>
        </w:rPr>
      </w:pPr>
      <w:bookmarkStart w:id="77" w:name="_Toc13338"/>
      <w:bookmarkStart w:id="78" w:name="_Toc16869"/>
      <w:bookmarkStart w:id="79" w:name="_Toc29986"/>
      <w:r>
        <w:rPr>
          <w:rFonts w:hint="eastAsia" w:ascii="仿宋" w:hAnsi="仿宋" w:eastAsia="仿宋" w:cs="仿宋"/>
          <w:b/>
          <w:color w:val="auto"/>
          <w:kern w:val="0"/>
          <w:sz w:val="24"/>
          <w:szCs w:val="24"/>
          <w:highlight w:val="none"/>
        </w:rPr>
        <w:t>第十条 争议的解决</w:t>
      </w:r>
      <w:bookmarkEnd w:id="77"/>
      <w:bookmarkEnd w:id="78"/>
      <w:bookmarkEnd w:id="79"/>
    </w:p>
    <w:p>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1.因货物的质量问题发生争议，由质量技术监督部门或其指定的质量鉴定机构进行质量鉴定。货物符合标准的，鉴定费由甲方承担；货物不符合质量标准的，鉴定费由乙方承担。</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2.因履行本合同引起的或与本合同有关的争议，甲、乙双方应首先通过友好协商解决，如果协商不成，则采取以下第</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种方式解决争议：</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（1）向甲方所在地有管辖权的人民法院提起诉讼；</w:t>
      </w:r>
    </w:p>
    <w:p>
      <w:pPr>
        <w:pStyle w:val="13"/>
        <w:spacing w:line="360" w:lineRule="auto"/>
        <w:ind w:firstLine="480" w:firstLineChars="200"/>
        <w:rPr>
          <w:rFonts w:hint="eastAsia" w:ascii="仿宋" w:hAnsi="仿宋" w:eastAsia="仿宋" w:cs="仿宋"/>
          <w:color w:val="auto"/>
          <w:kern w:val="0"/>
          <w:highlight w:val="none"/>
          <w:lang w:eastAsia="zh-CN"/>
        </w:rPr>
      </w:pPr>
      <w:r>
        <w:rPr>
          <w:rFonts w:hint="eastAsia" w:ascii="仿宋" w:hAnsi="仿宋" w:eastAsia="仿宋" w:cs="仿宋"/>
          <w:color w:val="auto"/>
          <w:kern w:val="0"/>
          <w:highlight w:val="none"/>
        </w:rPr>
        <w:t>（2）向</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仲裁委员会按其仲裁规则申请仲裁</w:t>
      </w:r>
      <w:r>
        <w:rPr>
          <w:rFonts w:hint="eastAsia" w:ascii="仿宋" w:hAnsi="仿宋" w:eastAsia="仿宋" w:cs="仿宋"/>
          <w:color w:val="auto"/>
          <w:kern w:val="0"/>
          <w:highlight w:val="none"/>
          <w:lang w:eastAsia="zh-CN"/>
        </w:rPr>
        <w:t>；</w:t>
      </w:r>
    </w:p>
    <w:p>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3.在诉讼期间，本合同应继续履行。</w:t>
      </w:r>
    </w:p>
    <w:p>
      <w:pPr>
        <w:snapToGrid w:val="0"/>
        <w:spacing w:line="360" w:lineRule="auto"/>
        <w:textAlignment w:val="baseline"/>
        <w:outlineLvl w:val="1"/>
        <w:rPr>
          <w:rFonts w:hint="eastAsia" w:ascii="仿宋" w:hAnsi="仿宋" w:eastAsia="仿宋" w:cs="仿宋"/>
          <w:b/>
          <w:color w:val="auto"/>
          <w:sz w:val="24"/>
          <w:szCs w:val="24"/>
          <w:highlight w:val="none"/>
        </w:rPr>
      </w:pPr>
      <w:bookmarkStart w:id="80" w:name="_Toc26051"/>
      <w:bookmarkStart w:id="81" w:name="_Toc6911"/>
      <w:bookmarkStart w:id="82" w:name="_Toc24039"/>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80"/>
      <w:bookmarkEnd w:id="81"/>
      <w:bookmarkEnd w:id="82"/>
    </w:p>
    <w:p>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2.中标通知书</w:t>
      </w:r>
      <w:r>
        <w:rPr>
          <w:rFonts w:hint="eastAsia" w:ascii="仿宋" w:hAnsi="仿宋" w:eastAsia="仿宋" w:cs="仿宋"/>
          <w:color w:val="auto"/>
          <w:sz w:val="24"/>
          <w:szCs w:val="24"/>
          <w:highlight w:val="none"/>
        </w:rPr>
        <w:tab/>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4.招标文件(含澄清或者修改文件)</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w:t>
      </w:r>
    </w:p>
    <w:p>
      <w:pPr>
        <w:snapToGrid w:val="0"/>
        <w:spacing w:line="360" w:lineRule="auto"/>
        <w:outlineLvl w:val="1"/>
        <w:rPr>
          <w:rFonts w:hint="eastAsia" w:ascii="仿宋" w:hAnsi="仿宋" w:eastAsia="仿宋" w:cs="仿宋"/>
          <w:b/>
          <w:color w:val="auto"/>
          <w:kern w:val="0"/>
          <w:sz w:val="24"/>
          <w:szCs w:val="24"/>
          <w:highlight w:val="none"/>
        </w:rPr>
      </w:pPr>
      <w:bookmarkStart w:id="83" w:name="_Toc32342"/>
      <w:bookmarkStart w:id="84" w:name="_Toc13842"/>
      <w:bookmarkStart w:id="85" w:name="_Toc138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3"/>
      <w:bookmarkEnd w:id="84"/>
      <w:bookmarkEnd w:id="85"/>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份，具有同等法律效力，甲乙双方各执</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w:t>
      </w:r>
    </w:p>
    <w:p>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4.合同附件：技术协议、招标文件、投标文件、中标通知书</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88AD84A-83AE-4421-A91C-6991D920F2A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7F5E4B77-B745-4B6C-AC20-B5C8AA7FA176}"/>
  </w:font>
  <w:font w:name="仿宋">
    <w:panose1 w:val="02010609060101010101"/>
    <w:charset w:val="86"/>
    <w:family w:val="modern"/>
    <w:pitch w:val="default"/>
    <w:sig w:usb0="800002BF" w:usb1="38CF7CFA" w:usb2="00000016" w:usb3="00000000" w:csb0="00040001" w:csb1="00000000"/>
    <w:embedRegular r:id="rId3" w:fontKey="{6BA407A0-712F-4FF2-B092-B7827867168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MzdlOGY2NDIzMWE3MGU0MzI2NDcwNWNiZjU3M2EifQ=="/>
  </w:docVars>
  <w:rsids>
    <w:rsidRoot w:val="38E42B80"/>
    <w:rsid w:val="020E02AA"/>
    <w:rsid w:val="031271CC"/>
    <w:rsid w:val="03DF3BE5"/>
    <w:rsid w:val="07E51AAD"/>
    <w:rsid w:val="0B1A04DC"/>
    <w:rsid w:val="0C0544CC"/>
    <w:rsid w:val="0FE47B20"/>
    <w:rsid w:val="123F625E"/>
    <w:rsid w:val="17E72CD8"/>
    <w:rsid w:val="180B4E43"/>
    <w:rsid w:val="1D3C6D55"/>
    <w:rsid w:val="263C4B36"/>
    <w:rsid w:val="264913D7"/>
    <w:rsid w:val="2A7C59B7"/>
    <w:rsid w:val="2F95544C"/>
    <w:rsid w:val="321150C9"/>
    <w:rsid w:val="328422AA"/>
    <w:rsid w:val="33613CE8"/>
    <w:rsid w:val="33E4755F"/>
    <w:rsid w:val="354F3848"/>
    <w:rsid w:val="38E42B80"/>
    <w:rsid w:val="397078B6"/>
    <w:rsid w:val="3D0A09CF"/>
    <w:rsid w:val="3EB2121E"/>
    <w:rsid w:val="4EDE7C89"/>
    <w:rsid w:val="4FB97F09"/>
    <w:rsid w:val="56881917"/>
    <w:rsid w:val="56B31FEC"/>
    <w:rsid w:val="59F42A57"/>
    <w:rsid w:val="5CE31541"/>
    <w:rsid w:val="607A71B4"/>
    <w:rsid w:val="61984CBF"/>
    <w:rsid w:val="643B2AF7"/>
    <w:rsid w:val="672D34DB"/>
    <w:rsid w:val="6BF95CAB"/>
    <w:rsid w:val="6D8433DC"/>
    <w:rsid w:val="70427DDE"/>
    <w:rsid w:val="70695446"/>
    <w:rsid w:val="73920EBF"/>
    <w:rsid w:val="73D828EE"/>
    <w:rsid w:val="759A04FF"/>
    <w:rsid w:val="7A6723E9"/>
    <w:rsid w:val="7A6C1FF8"/>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5">
    <w:name w:val="heading 1"/>
    <w:basedOn w:val="1"/>
    <w:next w:val="1"/>
    <w:qFormat/>
    <w:uiPriority w:val="0"/>
    <w:pPr>
      <w:jc w:val="center"/>
      <w:outlineLvl w:val="0"/>
    </w:pPr>
    <w:rPr>
      <w:rFonts w:ascii="宋体" w:hAnsi="宋体"/>
      <w:b/>
      <w:sz w:val="36"/>
    </w:rPr>
  </w:style>
  <w:style w:type="paragraph" w:styleId="6">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7">
    <w:name w:val="Normal Indent"/>
    <w:basedOn w:val="1"/>
    <w:next w:val="1"/>
    <w:qFormat/>
    <w:uiPriority w:val="0"/>
    <w:pPr>
      <w:adjustRightInd w:val="0"/>
      <w:spacing w:line="312" w:lineRule="atLeast"/>
      <w:ind w:firstLine="420"/>
      <w:textAlignment w:val="baseline"/>
    </w:pPr>
    <w:rPr>
      <w:rFonts w:ascii="宋体"/>
      <w:kern w:val="0"/>
    </w:rPr>
  </w:style>
  <w:style w:type="paragraph" w:styleId="8">
    <w:name w:val="Body Text"/>
    <w:basedOn w:val="1"/>
    <w:next w:val="1"/>
    <w:qFormat/>
    <w:uiPriority w:val="0"/>
    <w:pPr>
      <w:spacing w:after="120"/>
    </w:pPr>
    <w:rPr>
      <w:rFonts w:ascii="Times New Roman" w:hAnsi="Times New Roman"/>
    </w:rPr>
  </w:style>
  <w:style w:type="paragraph" w:styleId="9">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1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customStyle="1" w:styleId="13">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4">
    <w:name w:val="标题 41"/>
    <w:basedOn w:val="1"/>
    <w:qFormat/>
    <w:uiPriority w:val="1"/>
    <w:pPr>
      <w:ind w:left="1745"/>
      <w:jc w:val="left"/>
      <w:outlineLvl w:val="4"/>
    </w:pPr>
    <w:rPr>
      <w:rFonts w:ascii="宋体" w:hAnsi="宋体"/>
      <w:kern w:val="0"/>
      <w:sz w:val="26"/>
      <w:szCs w:val="26"/>
      <w:lang w:eastAsia="en-US"/>
    </w:rPr>
  </w:style>
  <w:style w:type="paragraph" w:customStyle="1" w:styleId="1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3020</Words>
  <Characters>3068</Characters>
  <Lines>0</Lines>
  <Paragraphs>0</Paragraphs>
  <TotalTime>2</TotalTime>
  <ScaleCrop>false</ScaleCrop>
  <LinksUpToDate>false</LinksUpToDate>
  <CharactersWithSpaces>3499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张天鹏</cp:lastModifiedBy>
  <dcterms:modified xsi:type="dcterms:W3CDTF">2025-07-01T09:11:32Z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1CCEC583AA234E7190960739386B8EF1_11</vt:lpwstr>
  </property>
</Properties>
</file>