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版本号：SJZY-2025-01820250710001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南郑区76号学校运动场改建及消防水池建设项目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SJZY-2025-018</w:t>
      </w:r>
      <w:r>
        <w:br/>
      </w:r>
      <w:r>
        <w:br/>
      </w:r>
      <w:r>
        <w:br/>
      </w:r>
    </w:p>
    <w:p>
      <w:pPr>
        <w:pStyle w:val="null3"/>
        <w:jc w:val="center"/>
        <w:outlineLvl w:val="2"/>
      </w:pPr>
      <w:r>
        <w:rPr>
          <w:rFonts w:ascii="仿宋_GB2312" w:hAnsi="仿宋_GB2312" w:cs="仿宋_GB2312" w:eastAsia="仿宋_GB2312"/>
          <w:sz w:val="28"/>
          <w:b/>
        </w:rPr>
        <w:t>汉中市南郑区76号学校</w:t>
      </w:r>
    </w:p>
    <w:p>
      <w:pPr>
        <w:pStyle w:val="null3"/>
        <w:jc w:val="center"/>
        <w:outlineLvl w:val="2"/>
      </w:pPr>
      <w:r>
        <w:rPr>
          <w:rFonts w:ascii="仿宋_GB2312" w:hAnsi="仿宋_GB2312" w:cs="仿宋_GB2312" w:eastAsia="仿宋_GB2312"/>
          <w:sz w:val="28"/>
          <w:b/>
        </w:rPr>
        <w:t>陕西世佳卓越项目管理有限公司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陕西世佳卓越项目管理有限公司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汉中市南郑区76号学校</w:t>
      </w:r>
      <w:r>
        <w:rPr>
          <w:rFonts w:ascii="仿宋_GB2312" w:hAnsi="仿宋_GB2312" w:cs="仿宋_GB2312" w:eastAsia="仿宋_GB2312"/>
        </w:rPr>
        <w:t>委托，拟对</w:t>
      </w:r>
      <w:r>
        <w:rPr>
          <w:rFonts w:ascii="仿宋_GB2312" w:hAnsi="仿宋_GB2312" w:cs="仿宋_GB2312" w:eastAsia="仿宋_GB2312"/>
        </w:rPr>
        <w:t>南郑区76号学校运动场改建及消防水池建设项目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SJZY-2025-018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南郑区76号学校运动场改建及消防水池建设项目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该工程位于汉中市南郑区76号学校校园内，主要建设内容为：新建消防水池、门卫室、值班室、体育器材室、塑胶跑道、人工草坪、内外环沟、钢丝网围栏、室外消火栓工程、室外电气等配套设施工程。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采购包1（南郑区76号学校运动场改建及消防水池建设项目）：属于专门面向中小企业采购。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3、企业资质要求：供应商须具备【建筑工程施工总承包三级]及以上资质并提供有效的安全生产许可证书</w:t>
      </w:r>
    </w:p>
    <w:p>
      <w:pPr>
        <w:pStyle w:val="null3"/>
      </w:pPr>
      <w:r>
        <w:rPr>
          <w:rFonts w:ascii="仿宋_GB2312" w:hAnsi="仿宋_GB2312" w:cs="仿宋_GB2312" w:eastAsia="仿宋_GB2312"/>
        </w:rPr>
        <w:t>4、项目经理资质要求：拟派项目经理应具备【注册建造师二级】及以上执业资格（建筑工程专业），具备有效的安全生产考核合格证书（建安B证），无在建工程（提供承诺书）</w:t>
      </w:r>
    </w:p>
    <w:p>
      <w:pPr>
        <w:pStyle w:val="null3"/>
      </w:pPr>
      <w:r>
        <w:rPr>
          <w:rFonts w:ascii="仿宋_GB2312" w:hAnsi="仿宋_GB2312" w:cs="仿宋_GB2312" w:eastAsia="仿宋_GB2312"/>
        </w:rPr>
        <w:t>5、汉中市政府采购供应商资格承诺函：供应商须提供《汉中市政府采购供应商资格承诺函》;</w:t>
      </w:r>
    </w:p>
    <w:p>
      <w:pPr>
        <w:pStyle w:val="null3"/>
      </w:pPr>
      <w:r>
        <w:rPr>
          <w:rFonts w:ascii="仿宋_GB2312" w:hAnsi="仿宋_GB2312" w:cs="仿宋_GB2312" w:eastAsia="仿宋_GB2312"/>
        </w:rPr>
        <w:t>6、非联合体承诺：非联合体承诺：供应商应提供《非联合体不分包磋商声明》，视为独立磋商，不分包。</w:t>
      </w:r>
    </w:p>
    <w:p>
      <w:pPr>
        <w:pStyle w:val="null3"/>
      </w:pPr>
      <w:r>
        <w:rPr>
          <w:rFonts w:ascii="仿宋_GB2312" w:hAnsi="仿宋_GB2312" w:cs="仿宋_GB2312" w:eastAsia="仿宋_GB2312"/>
        </w:rPr>
        <w:t>7、投标保证金：需提供投标保证金转账截图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汉中市南郑区76号学校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陕西省汉中市南郑区大河坎镇迎宾路12号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南郑县76号学校经办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13093923534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陕西世佳卓越项目管理有限公司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陕西省汉中市汉台区北关街道办事处张万营社区西环路北段龙城苑写字楼3层317室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李丁丁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18391628729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开户名称：陕西世佳卓越项目管理有限公司</w:t>
            </w:r>
          </w:p>
          <w:p>
            <w:pPr>
              <w:pStyle w:val="null3"/>
            </w:pPr>
            <w:r>
              <w:rPr>
                <w:rFonts w:ascii="仿宋_GB2312" w:hAnsi="仿宋_GB2312" w:cs="仿宋_GB2312" w:eastAsia="仿宋_GB2312"/>
              </w:rPr>
              <w:t>开户银行：中国工商银行股份有限公司汉中人民路支行</w:t>
            </w:r>
          </w:p>
          <w:p>
            <w:pPr>
              <w:pStyle w:val="null3"/>
            </w:pPr>
            <w:r>
              <w:rPr>
                <w:rFonts w:ascii="仿宋_GB2312" w:hAnsi="仿宋_GB2312" w:cs="仿宋_GB2312" w:eastAsia="仿宋_GB2312"/>
              </w:rPr>
              <w:t>银行账号：2606053609200329271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汉中市南郑区76号学校</w:t>
      </w:r>
      <w:r>
        <w:rPr>
          <w:rFonts w:ascii="仿宋_GB2312" w:hAnsi="仿宋_GB2312" w:cs="仿宋_GB2312" w:eastAsia="仿宋_GB2312"/>
        </w:rPr>
        <w:t>和</w:t>
      </w:r>
      <w:r>
        <w:rPr>
          <w:rFonts w:ascii="仿宋_GB2312" w:hAnsi="仿宋_GB2312" w:cs="仿宋_GB2312" w:eastAsia="仿宋_GB2312"/>
        </w:rPr>
        <w:t>陕西世佳卓越项目管理有限公司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汉中市南郑区76号学校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陕西世佳卓越项目管理有限公司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汉中市南郑区76号学校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陕西世佳卓越项目管理有限公司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质量达到相关验收合格标准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陕西世佳卓越项目管理有限公司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陕西世佳卓越项目管理有限公司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陕西世佳卓越项目管理有限公司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联系电话：18391628729</w:t>
      </w:r>
    </w:p>
    <w:p>
      <w:pPr>
        <w:pStyle w:val="null3"/>
      </w:pPr>
      <w:r>
        <w:rPr>
          <w:rFonts w:ascii="仿宋_GB2312" w:hAnsi="仿宋_GB2312" w:cs="仿宋_GB2312" w:eastAsia="仿宋_GB2312"/>
        </w:rPr>
        <w:t>地址：汉中市红叶大酒店后院小四楼1楼103室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3,621,000.00</w:t>
      </w:r>
    </w:p>
    <w:p>
      <w:pPr>
        <w:pStyle w:val="null3"/>
      </w:pPr>
      <w:r>
        <w:rPr>
          <w:rFonts w:ascii="仿宋_GB2312" w:hAnsi="仿宋_GB2312" w:cs="仿宋_GB2312" w:eastAsia="仿宋_GB2312"/>
        </w:rPr>
        <w:t>采购包最高限价（元）: 3,485,768.75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南郑区76号学校运动场改建及消防水池建设项目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3,621,000.00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标的名称：南郑区76号学校运动场改建及消防水池建设项目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该工程</w:t>
            </w:r>
            <w:r>
              <w:rPr>
                <w:rFonts w:ascii="仿宋_GB2312" w:hAnsi="仿宋_GB2312" w:cs="仿宋_GB2312" w:eastAsia="仿宋_GB2312"/>
                <w:sz w:val="28"/>
              </w:rPr>
              <w:t>位于</w:t>
            </w:r>
            <w:r>
              <w:rPr>
                <w:rFonts w:ascii="仿宋_GB2312" w:hAnsi="仿宋_GB2312" w:cs="仿宋_GB2312" w:eastAsia="仿宋_GB2312"/>
                <w:sz w:val="28"/>
              </w:rPr>
              <w:t>汉中市南郑区</w:t>
            </w:r>
            <w:r>
              <w:rPr>
                <w:rFonts w:ascii="仿宋_GB2312" w:hAnsi="仿宋_GB2312" w:cs="仿宋_GB2312" w:eastAsia="仿宋_GB2312"/>
                <w:sz w:val="28"/>
              </w:rPr>
              <w:t>76号学校校园内</w:t>
            </w:r>
            <w:r>
              <w:rPr>
                <w:rFonts w:ascii="仿宋_GB2312" w:hAnsi="仿宋_GB2312" w:cs="仿宋_GB2312" w:eastAsia="仿宋_GB2312"/>
                <w:sz w:val="28"/>
              </w:rPr>
              <w:t>，主要建设内容为</w:t>
            </w:r>
            <w:r>
              <w:rPr>
                <w:rFonts w:ascii="仿宋_GB2312" w:hAnsi="仿宋_GB2312" w:cs="仿宋_GB2312" w:eastAsia="仿宋_GB2312"/>
                <w:sz w:val="28"/>
              </w:rPr>
              <w:t>：新建消防水池、门卫室、值班室、体育器材室、塑胶跑道、人工草坪、内外环沟、钢丝网围栏、室外消火栓工程、室外电气等配套设施工程。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汉中市南郑区</w:t>
            </w:r>
            <w:r>
              <w:rPr>
                <w:rFonts w:ascii="仿宋_GB2312" w:hAnsi="仿宋_GB2312" w:cs="仿宋_GB2312" w:eastAsia="仿宋_GB2312"/>
                <w:sz w:val="28"/>
              </w:rPr>
              <w:t>76号学校运动场改建及消防水池建设项目的图纸及</w:t>
            </w:r>
            <w:r>
              <w:rPr>
                <w:rFonts w:ascii="仿宋_GB2312" w:hAnsi="仿宋_GB2312" w:cs="仿宋_GB2312" w:eastAsia="仿宋_GB2312"/>
                <w:sz w:val="28"/>
              </w:rPr>
              <w:t>相关</w:t>
            </w:r>
            <w:r>
              <w:rPr>
                <w:rFonts w:ascii="仿宋_GB2312" w:hAnsi="仿宋_GB2312" w:cs="仿宋_GB2312" w:eastAsia="仿宋_GB2312"/>
                <w:sz w:val="28"/>
              </w:rPr>
              <w:t>等</w:t>
            </w:r>
            <w:r>
              <w:rPr>
                <w:rFonts w:ascii="仿宋_GB2312" w:hAnsi="仿宋_GB2312" w:cs="仿宋_GB2312" w:eastAsia="仿宋_GB2312"/>
                <w:sz w:val="28"/>
              </w:rPr>
              <w:t>相关资料；</w:t>
            </w:r>
          </w:p>
          <w:p>
            <w:pPr>
              <w:pStyle w:val="null3"/>
              <w:ind w:firstLine="560"/>
              <w:jc w:val="both"/>
            </w:pPr>
            <w:r>
              <w:rPr>
                <w:rFonts w:ascii="仿宋_GB2312" w:hAnsi="仿宋_GB2312" w:cs="仿宋_GB2312" w:eastAsia="仿宋_GB2312"/>
                <w:sz w:val="28"/>
              </w:rPr>
              <w:t>2、《陕西省建设工程工程清单计价规则2009》、《陕西省建筑、装饰、安装工程消耗量定额（2004）》及补充定额、《陕西省（2009）价目表》、《陕西省（2009）建筑工程、安装工程、装饰工程、市政工程、园林绿化工程参考费率》及配套的相关文件；</w:t>
            </w:r>
          </w:p>
          <w:p>
            <w:pPr>
              <w:pStyle w:val="null3"/>
              <w:ind w:firstLine="560"/>
              <w:jc w:val="both"/>
            </w:pPr>
            <w:r>
              <w:rPr>
                <w:rFonts w:ascii="仿宋_GB2312" w:hAnsi="仿宋_GB2312" w:cs="仿宋_GB2312" w:eastAsia="仿宋_GB2312"/>
                <w:sz w:val="28"/>
              </w:rPr>
              <w:t>3、陕建发﹝2019﹞45号文件《关于重新调整建设工程计价依据增值税税率的通知》；</w:t>
            </w:r>
          </w:p>
          <w:p>
            <w:pPr>
              <w:pStyle w:val="null3"/>
              <w:ind w:firstLine="560"/>
              <w:jc w:val="both"/>
            </w:pPr>
            <w:r>
              <w:rPr>
                <w:rFonts w:ascii="仿宋_GB2312" w:hAnsi="仿宋_GB2312" w:cs="仿宋_GB2312" w:eastAsia="仿宋_GB2312"/>
                <w:sz w:val="28"/>
              </w:rPr>
              <w:t>4、汉市建规发《2016》</w:t>
            </w:r>
            <w:r>
              <w:rPr>
                <w:rFonts w:ascii="仿宋_GB2312" w:hAnsi="仿宋_GB2312" w:cs="仿宋_GB2312" w:eastAsia="仿宋_GB2312"/>
                <w:sz w:val="28"/>
              </w:rPr>
              <w:t>23</w:t>
            </w:r>
            <w:r>
              <w:rPr>
                <w:rFonts w:ascii="仿宋_GB2312" w:hAnsi="仿宋_GB2312" w:cs="仿宋_GB2312" w:eastAsia="仿宋_GB2312"/>
                <w:sz w:val="28"/>
              </w:rPr>
              <w:t>号关于停止副食品调节基金的通知；</w:t>
            </w:r>
          </w:p>
          <w:p>
            <w:pPr>
              <w:pStyle w:val="null3"/>
              <w:ind w:firstLine="560"/>
              <w:jc w:val="both"/>
            </w:pPr>
            <w:r>
              <w:rPr>
                <w:rFonts w:ascii="仿宋_GB2312" w:hAnsi="仿宋_GB2312" w:cs="仿宋_GB2312" w:eastAsia="仿宋_GB2312"/>
                <w:sz w:val="28"/>
              </w:rPr>
              <w:t>5、陕建发【2017】270号文-陕西省住房和城乡建设厅《关于增加建设工程扬尘治理专项措施费及综合人工单价的通知》（安全文明施工措施费在已有计费项目的基础上增加扬尘污染专项治理费项目；</w:t>
            </w:r>
          </w:p>
          <w:p>
            <w:pPr>
              <w:pStyle w:val="null3"/>
              <w:ind w:firstLine="560"/>
              <w:jc w:val="both"/>
            </w:pPr>
            <w:r>
              <w:rPr>
                <w:rFonts w:ascii="仿宋_GB2312" w:hAnsi="仿宋_GB2312" w:cs="仿宋_GB2312" w:eastAsia="仿宋_GB2312"/>
                <w:sz w:val="28"/>
              </w:rPr>
              <w:t>6、陕建发【20</w:t>
            </w:r>
            <w:r>
              <w:rPr>
                <w:rFonts w:ascii="仿宋_GB2312" w:hAnsi="仿宋_GB2312" w:cs="仿宋_GB2312" w:eastAsia="仿宋_GB2312"/>
                <w:sz w:val="28"/>
              </w:rPr>
              <w:t>21</w:t>
            </w:r>
            <w:r>
              <w:rPr>
                <w:rFonts w:ascii="仿宋_GB2312" w:hAnsi="仿宋_GB2312" w:cs="仿宋_GB2312" w:eastAsia="仿宋_GB2312"/>
                <w:sz w:val="28"/>
              </w:rPr>
              <w:t>】</w:t>
            </w:r>
            <w:r>
              <w:rPr>
                <w:rFonts w:ascii="仿宋_GB2312" w:hAnsi="仿宋_GB2312" w:cs="仿宋_GB2312" w:eastAsia="仿宋_GB2312"/>
                <w:sz w:val="28"/>
              </w:rPr>
              <w:t>1097</w:t>
            </w:r>
            <w:r>
              <w:rPr>
                <w:rFonts w:ascii="仿宋_GB2312" w:hAnsi="仿宋_GB2312" w:cs="仿宋_GB2312" w:eastAsia="仿宋_GB2312"/>
                <w:sz w:val="28"/>
              </w:rPr>
              <w:t>号文</w:t>
            </w:r>
            <w:r>
              <w:rPr>
                <w:rFonts w:ascii="仿宋_GB2312" w:hAnsi="仿宋_GB2312" w:cs="仿宋_GB2312" w:eastAsia="仿宋_GB2312"/>
                <w:sz w:val="28"/>
              </w:rPr>
              <w:t>-陕西省住房和城乡建设厅建筑工程、安装工程、市政工程、园林绿化工程由原</w:t>
            </w:r>
            <w:r>
              <w:rPr>
                <w:rFonts w:ascii="仿宋_GB2312" w:hAnsi="仿宋_GB2312" w:cs="仿宋_GB2312" w:eastAsia="仿宋_GB2312"/>
                <w:sz w:val="28"/>
              </w:rPr>
              <w:t>120</w:t>
            </w:r>
            <w:r>
              <w:rPr>
                <w:rFonts w:ascii="仿宋_GB2312" w:hAnsi="仿宋_GB2312" w:cs="仿宋_GB2312" w:eastAsia="仿宋_GB2312"/>
                <w:sz w:val="28"/>
              </w:rPr>
              <w:t>元</w:t>
            </w:r>
            <w:r>
              <w:rPr>
                <w:rFonts w:ascii="仿宋_GB2312" w:hAnsi="仿宋_GB2312" w:cs="仿宋_GB2312" w:eastAsia="仿宋_GB2312"/>
                <w:sz w:val="28"/>
              </w:rPr>
              <w:t>/工日调整为</w:t>
            </w:r>
            <w:r>
              <w:rPr>
                <w:rFonts w:ascii="仿宋_GB2312" w:hAnsi="仿宋_GB2312" w:cs="仿宋_GB2312" w:eastAsia="仿宋_GB2312"/>
                <w:sz w:val="28"/>
              </w:rPr>
              <w:t>136</w:t>
            </w:r>
            <w:r>
              <w:rPr>
                <w:rFonts w:ascii="仿宋_GB2312" w:hAnsi="仿宋_GB2312" w:cs="仿宋_GB2312" w:eastAsia="仿宋_GB2312"/>
                <w:sz w:val="28"/>
              </w:rPr>
              <w:t>元</w:t>
            </w:r>
            <w:r>
              <w:rPr>
                <w:rFonts w:ascii="仿宋_GB2312" w:hAnsi="仿宋_GB2312" w:cs="仿宋_GB2312" w:eastAsia="仿宋_GB2312"/>
                <w:sz w:val="28"/>
              </w:rPr>
              <w:t>/工日，装饰工程由原</w:t>
            </w:r>
            <w:r>
              <w:rPr>
                <w:rFonts w:ascii="仿宋_GB2312" w:hAnsi="仿宋_GB2312" w:cs="仿宋_GB2312" w:eastAsia="仿宋_GB2312"/>
                <w:sz w:val="28"/>
              </w:rPr>
              <w:t>130</w:t>
            </w:r>
            <w:r>
              <w:rPr>
                <w:rFonts w:ascii="仿宋_GB2312" w:hAnsi="仿宋_GB2312" w:cs="仿宋_GB2312" w:eastAsia="仿宋_GB2312"/>
                <w:sz w:val="28"/>
              </w:rPr>
              <w:t>元</w:t>
            </w:r>
            <w:r>
              <w:rPr>
                <w:rFonts w:ascii="仿宋_GB2312" w:hAnsi="仿宋_GB2312" w:cs="仿宋_GB2312" w:eastAsia="仿宋_GB2312"/>
                <w:sz w:val="28"/>
              </w:rPr>
              <w:t>/工日调整为</w:t>
            </w:r>
            <w:r>
              <w:rPr>
                <w:rFonts w:ascii="仿宋_GB2312" w:hAnsi="仿宋_GB2312" w:cs="仿宋_GB2312" w:eastAsia="仿宋_GB2312"/>
                <w:sz w:val="28"/>
              </w:rPr>
              <w:t>146</w:t>
            </w:r>
            <w:r>
              <w:rPr>
                <w:rFonts w:ascii="仿宋_GB2312" w:hAnsi="仿宋_GB2312" w:cs="仿宋_GB2312" w:eastAsia="仿宋_GB2312"/>
                <w:sz w:val="28"/>
              </w:rPr>
              <w:t>元</w:t>
            </w:r>
            <w:r>
              <w:rPr>
                <w:rFonts w:ascii="仿宋_GB2312" w:hAnsi="仿宋_GB2312" w:cs="仿宋_GB2312" w:eastAsia="仿宋_GB2312"/>
                <w:sz w:val="28"/>
              </w:rPr>
              <w:t>/工日）及其配套相应的最新文件；</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材料价格按</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年</w:t>
            </w:r>
            <w:r>
              <w:rPr>
                <w:rFonts w:ascii="仿宋_GB2312" w:hAnsi="仿宋_GB2312" w:cs="仿宋_GB2312" w:eastAsia="仿宋_GB2312"/>
                <w:sz w:val="28"/>
              </w:rPr>
              <w:t>5</w:t>
            </w:r>
            <w:r>
              <w:rPr>
                <w:rFonts w:ascii="仿宋_GB2312" w:hAnsi="仿宋_GB2312" w:cs="仿宋_GB2312" w:eastAsia="仿宋_GB2312"/>
                <w:sz w:val="28"/>
              </w:rPr>
              <w:t>月《汉中市建设工程造价信息》材料价综合计取</w:t>
            </w:r>
            <w:r>
              <w:rPr>
                <w:rFonts w:ascii="仿宋_GB2312" w:hAnsi="仿宋_GB2312" w:cs="仿宋_GB2312" w:eastAsia="仿宋_GB2312"/>
                <w:sz w:val="28"/>
              </w:rPr>
              <w:t>。</w:t>
            </w:r>
          </w:p>
          <w:p>
            <w:pPr>
              <w:pStyle w:val="null3"/>
              <w:ind w:firstLine="544"/>
              <w:jc w:val="both"/>
            </w:pPr>
            <w:r>
              <w:rPr>
                <w:rFonts w:ascii="仿宋_GB2312" w:hAnsi="仿宋_GB2312" w:cs="仿宋_GB2312" w:eastAsia="仿宋_GB2312"/>
                <w:sz w:val="28"/>
              </w:rPr>
              <w:t>8、塑胶跑道190元/平方米；</w:t>
            </w:r>
          </w:p>
          <w:p>
            <w:pPr>
              <w:pStyle w:val="null3"/>
              <w:ind w:firstLine="544"/>
              <w:jc w:val="both"/>
            </w:pPr>
            <w:r>
              <w:rPr>
                <w:rFonts w:ascii="仿宋_GB2312" w:hAnsi="仿宋_GB2312" w:cs="仿宋_GB2312" w:eastAsia="仿宋_GB2312"/>
                <w:sz w:val="28"/>
              </w:rPr>
              <w:t>9、本次项目教学楼及教辅楼内消防不计入；</w:t>
            </w:r>
          </w:p>
          <w:p>
            <w:pPr>
              <w:pStyle w:val="null3"/>
              <w:ind w:firstLine="544"/>
              <w:jc w:val="both"/>
            </w:pPr>
            <w:r>
              <w:rPr>
                <w:rFonts w:ascii="仿宋_GB2312" w:hAnsi="仿宋_GB2312" w:cs="仿宋_GB2312" w:eastAsia="仿宋_GB2312"/>
                <w:sz w:val="28"/>
              </w:rPr>
              <w:t>10、暂列金100000元；</w:t>
            </w:r>
          </w:p>
          <w:p>
            <w:pPr>
              <w:pStyle w:val="null3"/>
              <w:ind w:firstLine="544"/>
              <w:jc w:val="left"/>
            </w:pPr>
            <w:r>
              <w:rPr>
                <w:rFonts w:ascii="仿宋_GB2312" w:hAnsi="仿宋_GB2312" w:cs="仿宋_GB2312" w:eastAsia="仿宋_GB2312"/>
                <w:sz w:val="28"/>
              </w:rPr>
              <w:t>11、路灯按12m升降路灯2*500wLED；</w:t>
            </w:r>
          </w:p>
          <w:p>
            <w:pPr>
              <w:pStyle w:val="null3"/>
              <w:ind w:firstLine="544"/>
              <w:jc w:val="left"/>
            </w:pPr>
            <w:r>
              <w:rPr>
                <w:rFonts w:ascii="仿宋_GB2312" w:hAnsi="仿宋_GB2312" w:cs="仿宋_GB2312" w:eastAsia="仿宋_GB2312"/>
                <w:sz w:val="28"/>
              </w:rPr>
              <w:t>12、运动场200厚1:6水泥山砂稳定层，按100厚1:6水泥山砂稳定层计入。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本项目工期：80日历天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拟派项目经理应具备【注册建造师二级】及以上执业资格（建筑工程专业），具备有效的安全生产考核合格证书（建安B证），无在建工程（提供承诺书）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非联合体承诺：供应商应提供《非联合体不分包磋商声明》，视为独立磋商，不分包。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需提供投标保证金转账截图</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项目经理部组成人员配置表.docx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项目经理部组成人员配置表.docx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项目经理部组成人员配置表.docx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对本项目实施方案进行综合评审。（实施方案详细、可行，完全满足项目实施的得7.1-10分；实施方案较详细、较可行，较满足项目实施的得3.1-7分；实施方案基本详细、基本可行，基本满足项目实施的得1.1-3分；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对本项目项目团队人员配置进行综合评审。（项目团队人员配备合理，分工明确，职责清晰得7.1-10分；项目团队人员配备较合理，分工较明确，职责较清晰得3.1-7分；项目团队人员配备基本合理，分工基本明确，职责基本清晰得1.1-3分；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项目经理部组成人员配置表.docx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对本项目工程质量保证措施进行综合评审。(保证措施科学、合理、可行性高得计10.1-15分；保证措施较合理、内容完整计5.1-10分；保证措施不完整、可行性较差计1.0-5分。未提供此项内容不得分)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安全生产、文明施工的保证措施及环境保护措施</w:t>
            </w:r>
          </w:p>
        </w:tc>
        <w:tc>
          <w:tcPr>
            <w:tcW w:type="dxa" w:w="2492"/>
          </w:tcPr>
          <w:p>
            <w:pPr>
              <w:pStyle w:val="null3"/>
            </w:pPr>
            <w:r>
              <w:rPr>
                <w:rFonts w:ascii="仿宋_GB2312" w:hAnsi="仿宋_GB2312" w:cs="仿宋_GB2312" w:eastAsia="仿宋_GB2312"/>
              </w:rPr>
              <w:t>对本项目安全生产、文明施工的保证措施及环境保护措施进行综合评审。（保证措施科学、合理、可行性高计10.1-15分；保证措施较合理、内容完整计5.1-10分；保证措施不完整、可行性较差计1.0-5分。未提供此项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工期的保证措施</w:t>
            </w:r>
          </w:p>
        </w:tc>
        <w:tc>
          <w:tcPr>
            <w:tcW w:type="dxa" w:w="2492"/>
          </w:tcPr>
          <w:p>
            <w:pPr>
              <w:pStyle w:val="null3"/>
            </w:pPr>
            <w:r>
              <w:rPr>
                <w:rFonts w:ascii="仿宋_GB2312" w:hAnsi="仿宋_GB2312" w:cs="仿宋_GB2312" w:eastAsia="仿宋_GB2312"/>
              </w:rPr>
              <w:t>对本项目工期的保证措施进行综合评审。（保证措施科学、合理、可行性高计7.1-10分；保证措施较合理、内容完整计4.1-7分；保证措施不完整、可行性较差计1.0-4分；未提供此项内容不得分）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售后保修服务措施</w:t>
            </w:r>
          </w:p>
        </w:tc>
        <w:tc>
          <w:tcPr>
            <w:tcW w:type="dxa" w:w="2492"/>
          </w:tcPr>
          <w:p>
            <w:pPr>
              <w:pStyle w:val="null3"/>
            </w:pPr>
            <w:r>
              <w:rPr>
                <w:rFonts w:ascii="仿宋_GB2312" w:hAnsi="仿宋_GB2312" w:cs="仿宋_GB2312" w:eastAsia="仿宋_GB2312"/>
              </w:rPr>
              <w:t>对本项目售后保修服务措施进行综合评审。（贴合项目实际，满足采购人及项目需求，保修承诺明确计3.1-5分；售后保修服务内容空洞，措施不明确，承诺不明确，不能完全满足采购人及项目需求计1.0-3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供应商提供2022年至今完成的类似业绩证明，每提供一份得2.5分，最高得5分； 注：业绩须是供应商完成的类似项目，提供中标通知书或协议书（合同）原件或加盖公章的复印件，否则不作为加分项。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3、不享有政策优惠条件的投标供应商报价得分=（评审基准价/报价）×30 4、全部符合政策优惠条件的投标供应商报价得分=[评审基准价/报价*(1-10%)]×30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详见附件：项目经理部组成人员配置表.docx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